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6379" w14:textId="77777777" w:rsidR="00656218" w:rsidRDefault="00656218">
      <w:pPr>
        <w:spacing w:after="340" w:line="259" w:lineRule="auto"/>
        <w:ind w:left="0" w:right="65" w:firstLine="0"/>
        <w:jc w:val="center"/>
        <w:rPr>
          <w:rFonts w:ascii="ＭＳ Ｐゴシック" w:eastAsia="ＭＳ Ｐゴシック" w:hAnsi="ＭＳ Ｐゴシック" w:cs="Microsoft YaHei"/>
          <w:color w:val="auto"/>
        </w:rPr>
      </w:pPr>
    </w:p>
    <w:p w14:paraId="3AB84546" w14:textId="44EF84ED" w:rsidR="00A84070" w:rsidRPr="00B90E82" w:rsidRDefault="00415A2E">
      <w:pPr>
        <w:spacing w:after="340" w:line="259" w:lineRule="auto"/>
        <w:ind w:left="0" w:right="65" w:firstLine="0"/>
        <w:jc w:val="center"/>
        <w:rPr>
          <w:color w:val="auto"/>
        </w:rPr>
      </w:pPr>
      <w:r w:rsidRPr="000224E4">
        <w:rPr>
          <w:rFonts w:ascii="ＭＳ Ｐゴシック" w:eastAsia="ＭＳ Ｐゴシック" w:hAnsi="ＭＳ Ｐゴシック" w:cs="Microsoft YaHei" w:hint="eastAsia"/>
          <w:color w:val="auto"/>
        </w:rPr>
        <w:t>シルバー</w:t>
      </w:r>
      <w:r w:rsidR="00EB177B" w:rsidRPr="000224E4">
        <w:rPr>
          <w:rFonts w:ascii="ＭＳ Ｐゴシック" w:eastAsia="ＭＳ Ｐゴシック" w:hAnsi="ＭＳ Ｐゴシック" w:cs="Microsoft YaHei" w:hint="eastAsia"/>
          <w:color w:val="auto"/>
        </w:rPr>
        <w:t>人材</w:t>
      </w:r>
      <w:r w:rsidRPr="000224E4">
        <w:rPr>
          <w:rFonts w:ascii="ＭＳ Ｐゴシック" w:eastAsia="ＭＳ Ｐゴシック" w:hAnsi="ＭＳ Ｐゴシック" w:cs="Microsoft YaHei" w:hint="eastAsia"/>
          <w:color w:val="auto"/>
        </w:rPr>
        <w:t>センター利用</w:t>
      </w:r>
      <w:r w:rsidR="00970AA4" w:rsidRPr="00B90E82">
        <w:rPr>
          <w:rFonts w:ascii="Microsoft YaHei" w:eastAsia="Microsoft YaHei" w:hAnsi="Microsoft YaHei" w:cs="Microsoft YaHei"/>
          <w:color w:val="auto"/>
        </w:rPr>
        <w:t>契約書</w:t>
      </w:r>
    </w:p>
    <w:p w14:paraId="4A46504B" w14:textId="26A8E0F3" w:rsidR="00A84070" w:rsidRPr="00B90E82" w:rsidRDefault="00970AA4" w:rsidP="00415A2E">
      <w:pPr>
        <w:spacing w:after="0"/>
        <w:ind w:left="-17" w:firstLine="244"/>
        <w:rPr>
          <w:color w:val="auto"/>
        </w:rPr>
      </w:pPr>
      <w:r w:rsidRPr="00B90E82">
        <w:rPr>
          <w:color w:val="auto"/>
        </w:rPr>
        <w:t>新潟県(以下</w:t>
      </w:r>
      <w:r w:rsidR="00415A2E" w:rsidRPr="00B90E82">
        <w:rPr>
          <w:rFonts w:hint="eastAsia"/>
          <w:color w:val="auto"/>
        </w:rPr>
        <w:t>「発注者」</w:t>
      </w:r>
      <w:r w:rsidRPr="00B90E82">
        <w:rPr>
          <w:color w:val="auto"/>
        </w:rPr>
        <w:t>という。)</w:t>
      </w:r>
      <w:r w:rsidR="00415A2E" w:rsidRPr="00B90E82">
        <w:rPr>
          <w:rFonts w:hint="eastAsia"/>
          <w:color w:val="auto"/>
        </w:rPr>
        <w:t xml:space="preserve"> </w:t>
      </w:r>
      <w:r w:rsidR="00415A2E" w:rsidRPr="00B90E82">
        <w:rPr>
          <w:color w:val="auto"/>
        </w:rPr>
        <w:t>と</w:t>
      </w:r>
      <w:r w:rsidR="003B3E9C">
        <w:rPr>
          <w:rFonts w:hint="eastAsia"/>
          <w:color w:val="auto"/>
        </w:rPr>
        <w:t xml:space="preserve">                                   </w:t>
      </w:r>
      <w:r w:rsidR="00415A2E" w:rsidRPr="00B90E82">
        <w:rPr>
          <w:color w:val="auto"/>
        </w:rPr>
        <w:t>(以下「センター」という。)</w:t>
      </w:r>
      <w:r w:rsidR="0098067D" w:rsidRPr="00B90E82">
        <w:rPr>
          <w:rFonts w:hint="eastAsia"/>
          <w:color w:val="auto"/>
        </w:rPr>
        <w:t xml:space="preserve"> </w:t>
      </w:r>
      <w:r w:rsidR="00415A2E" w:rsidRPr="00B90E82">
        <w:rPr>
          <w:color w:val="auto"/>
        </w:rPr>
        <w:t>とは、発注者がセンターを通じてセ</w:t>
      </w:r>
      <w:r w:rsidR="00415A2E" w:rsidRPr="00B90E82">
        <w:rPr>
          <w:rFonts w:hint="eastAsia"/>
          <w:color w:val="auto"/>
        </w:rPr>
        <w:t>ンターの会員</w:t>
      </w:r>
      <w:r w:rsidR="00415A2E" w:rsidRPr="00B90E82">
        <w:rPr>
          <w:color w:val="auto"/>
        </w:rPr>
        <w:t>(以下「会員」という。)に対して</w:t>
      </w:r>
      <w:r w:rsidR="0098067D" w:rsidRPr="00B90E82">
        <w:rPr>
          <w:rFonts w:hint="eastAsia"/>
          <w:color w:val="auto"/>
        </w:rPr>
        <w:t>新潟県立</w:t>
      </w:r>
      <w:r w:rsidR="00656218">
        <w:rPr>
          <w:rFonts w:hint="eastAsia"/>
          <w:color w:val="auto"/>
        </w:rPr>
        <w:t>長岡農業高等</w:t>
      </w:r>
      <w:r w:rsidR="0098067D" w:rsidRPr="00B90E82">
        <w:rPr>
          <w:rFonts w:hint="eastAsia"/>
          <w:color w:val="auto"/>
        </w:rPr>
        <w:t>学校</w:t>
      </w:r>
      <w:r w:rsidR="0098067D" w:rsidRPr="00B90E82">
        <w:rPr>
          <w:color w:val="auto"/>
        </w:rPr>
        <w:t>(以下「学校」という。)の</w:t>
      </w:r>
      <w:r w:rsidR="00656218">
        <w:rPr>
          <w:rFonts w:hint="eastAsia"/>
          <w:color w:val="auto"/>
        </w:rPr>
        <w:t>農場</w:t>
      </w:r>
      <w:r w:rsidR="0098067D" w:rsidRPr="00B90E82">
        <w:rPr>
          <w:color w:val="auto"/>
        </w:rPr>
        <w:t>管理業務</w:t>
      </w:r>
      <w:r w:rsidR="00570AED" w:rsidRPr="00B90E82">
        <w:rPr>
          <w:rFonts w:hint="eastAsia"/>
          <w:color w:val="auto"/>
        </w:rPr>
        <w:t>（以下、</w:t>
      </w:r>
      <w:r w:rsidR="002C37F9" w:rsidRPr="00B90E82">
        <w:rPr>
          <w:rFonts w:hint="eastAsia"/>
          <w:color w:val="auto"/>
        </w:rPr>
        <w:t>「</w:t>
      </w:r>
      <w:r w:rsidR="00570AED" w:rsidRPr="00B90E82">
        <w:rPr>
          <w:rFonts w:hint="eastAsia"/>
          <w:color w:val="auto"/>
        </w:rPr>
        <w:t>本件会員業務</w:t>
      </w:r>
      <w:r w:rsidR="002C37F9" w:rsidRPr="00B90E82">
        <w:rPr>
          <w:rFonts w:hint="eastAsia"/>
          <w:color w:val="auto"/>
        </w:rPr>
        <w:t>」という。</w:t>
      </w:r>
      <w:r w:rsidR="00570AED" w:rsidRPr="00B90E82">
        <w:rPr>
          <w:rFonts w:hint="eastAsia"/>
          <w:color w:val="auto"/>
        </w:rPr>
        <w:t>）</w:t>
      </w:r>
      <w:r w:rsidR="00415A2E" w:rsidRPr="00B90E82">
        <w:rPr>
          <w:color w:val="auto"/>
        </w:rPr>
        <w:t>を委託するに当たり、次のとおリシルバー人材センター利用契</w:t>
      </w:r>
      <w:r w:rsidR="00415A2E" w:rsidRPr="00B90E82">
        <w:rPr>
          <w:rFonts w:hint="eastAsia"/>
          <w:color w:val="auto"/>
        </w:rPr>
        <w:t>約を締結する。</w:t>
      </w:r>
    </w:p>
    <w:p w14:paraId="1EB6937F" w14:textId="77777777" w:rsidR="00B63441" w:rsidRPr="00B90E82" w:rsidRDefault="00B63441" w:rsidP="00415A2E">
      <w:pPr>
        <w:spacing w:after="0"/>
        <w:ind w:left="-17" w:firstLine="244"/>
        <w:rPr>
          <w:color w:val="auto"/>
        </w:rPr>
      </w:pPr>
    </w:p>
    <w:p w14:paraId="06831A20" w14:textId="77777777" w:rsidR="00A84070" w:rsidRPr="00B90E82" w:rsidRDefault="00970AA4">
      <w:pPr>
        <w:ind w:left="-5"/>
        <w:rPr>
          <w:color w:val="auto"/>
        </w:rPr>
      </w:pPr>
      <w:r w:rsidRPr="00B90E82">
        <w:rPr>
          <w:color w:val="auto"/>
        </w:rPr>
        <w:t>(契約の目的)</w:t>
      </w:r>
    </w:p>
    <w:p w14:paraId="0FBB8984" w14:textId="3824812B" w:rsidR="00B63441" w:rsidRPr="00B90E82" w:rsidRDefault="00665951" w:rsidP="00B63441">
      <w:pPr>
        <w:pStyle w:val="a3"/>
        <w:numPr>
          <w:ilvl w:val="0"/>
          <w:numId w:val="11"/>
        </w:numPr>
        <w:ind w:leftChars="0"/>
        <w:jc w:val="both"/>
        <w:rPr>
          <w:color w:val="auto"/>
        </w:rPr>
      </w:pPr>
      <w:r w:rsidRPr="00B90E82">
        <w:rPr>
          <w:rFonts w:hint="eastAsia"/>
          <w:color w:val="auto"/>
        </w:rPr>
        <w:t>本契約は、</w:t>
      </w:r>
      <w:r w:rsidR="009C0F25" w:rsidRPr="00B90E82">
        <w:rPr>
          <w:rFonts w:hint="eastAsia"/>
          <w:color w:val="auto"/>
        </w:rPr>
        <w:t>発注者がセンターを通じて会員に</w:t>
      </w:r>
      <w:r w:rsidR="00902A87">
        <w:rPr>
          <w:rFonts w:hint="eastAsia"/>
          <w:color w:val="auto"/>
        </w:rPr>
        <w:t>農場</w:t>
      </w:r>
      <w:r w:rsidRPr="00B90E82">
        <w:rPr>
          <w:rFonts w:hint="eastAsia"/>
          <w:color w:val="auto"/>
        </w:rPr>
        <w:t>管理業務</w:t>
      </w:r>
      <w:r w:rsidR="009C0F25" w:rsidRPr="00B90E82">
        <w:rPr>
          <w:rFonts w:hint="eastAsia"/>
          <w:color w:val="auto"/>
        </w:rPr>
        <w:t>を委託するに当たり、</w:t>
      </w:r>
    </w:p>
    <w:p w14:paraId="6A759C2D" w14:textId="786D2F46" w:rsidR="00665951" w:rsidRPr="00B90E82" w:rsidRDefault="00665951" w:rsidP="00B63441">
      <w:pPr>
        <w:ind w:left="0" w:firstLineChars="100" w:firstLine="240"/>
        <w:jc w:val="both"/>
        <w:rPr>
          <w:color w:val="auto"/>
        </w:rPr>
      </w:pPr>
      <w:r w:rsidRPr="00B90E82">
        <w:rPr>
          <w:rFonts w:hint="eastAsia"/>
          <w:color w:val="auto"/>
        </w:rPr>
        <w:t>必要な事項を定めることを目的とする。</w:t>
      </w:r>
    </w:p>
    <w:p w14:paraId="3DC1A9A8" w14:textId="77777777" w:rsidR="00B63441" w:rsidRPr="00B90E82" w:rsidRDefault="00B63441" w:rsidP="00B63441">
      <w:pPr>
        <w:pStyle w:val="a3"/>
        <w:ind w:leftChars="0" w:left="968" w:firstLine="0"/>
        <w:jc w:val="both"/>
        <w:rPr>
          <w:color w:val="auto"/>
        </w:rPr>
      </w:pPr>
    </w:p>
    <w:p w14:paraId="001A6E7D" w14:textId="49285646" w:rsidR="00665951" w:rsidRPr="00B90E82" w:rsidRDefault="00665951" w:rsidP="00665951">
      <w:pPr>
        <w:spacing w:after="0"/>
        <w:rPr>
          <w:color w:val="auto"/>
        </w:rPr>
      </w:pPr>
      <w:r w:rsidRPr="00B90E82">
        <w:rPr>
          <w:color w:val="auto"/>
        </w:rPr>
        <w:t>(会員への業務の委託)</w:t>
      </w:r>
    </w:p>
    <w:p w14:paraId="69FC1D33" w14:textId="77777777" w:rsidR="00B63441" w:rsidRPr="00B90E82" w:rsidRDefault="00665951" w:rsidP="00B63441">
      <w:pPr>
        <w:pStyle w:val="a3"/>
        <w:numPr>
          <w:ilvl w:val="0"/>
          <w:numId w:val="11"/>
        </w:numPr>
        <w:spacing w:after="0"/>
        <w:ind w:leftChars="0"/>
        <w:rPr>
          <w:color w:val="auto"/>
        </w:rPr>
      </w:pPr>
      <w:r w:rsidRPr="00B90E82">
        <w:rPr>
          <w:rFonts w:hint="eastAsia"/>
          <w:color w:val="auto"/>
        </w:rPr>
        <w:t>発注者は、シルバー人材センター利用規約</w:t>
      </w:r>
      <w:r w:rsidRPr="00B90E82">
        <w:rPr>
          <w:color w:val="auto"/>
        </w:rPr>
        <w:t>(以下「利用規約」という。)に定</w:t>
      </w:r>
      <w:r w:rsidRPr="00B90E82">
        <w:rPr>
          <w:rFonts w:hint="eastAsia"/>
          <w:color w:val="auto"/>
        </w:rPr>
        <w:t>める</w:t>
      </w:r>
    </w:p>
    <w:p w14:paraId="65FFDFEB" w14:textId="4738D2CF" w:rsidR="00665951" w:rsidRPr="00B90E82" w:rsidRDefault="00665951" w:rsidP="00B63441">
      <w:pPr>
        <w:spacing w:after="0"/>
        <w:ind w:leftChars="100" w:left="240" w:firstLine="0"/>
        <w:rPr>
          <w:color w:val="auto"/>
        </w:rPr>
      </w:pPr>
      <w:r w:rsidRPr="00B90E82">
        <w:rPr>
          <w:rFonts w:hint="eastAsia"/>
          <w:color w:val="auto"/>
        </w:rPr>
        <w:t>ところにより、本件会員業務を実施する会員としてセンターが選定した会員に対して、センターを通じて本件会員業務を委託する。</w:t>
      </w:r>
    </w:p>
    <w:p w14:paraId="70D399FF" w14:textId="77777777" w:rsidR="00B63441" w:rsidRPr="00B90E82" w:rsidRDefault="00B63441" w:rsidP="00B63441">
      <w:pPr>
        <w:pStyle w:val="a3"/>
        <w:spacing w:after="0"/>
        <w:ind w:leftChars="0" w:left="968" w:firstLine="0"/>
        <w:rPr>
          <w:color w:val="auto"/>
        </w:rPr>
      </w:pPr>
    </w:p>
    <w:p w14:paraId="6686E746" w14:textId="16646C51" w:rsidR="006E4EB3" w:rsidRPr="00B90E82" w:rsidRDefault="006E4EB3" w:rsidP="006E4EB3">
      <w:pPr>
        <w:spacing w:after="0"/>
        <w:ind w:left="227" w:hanging="244"/>
        <w:rPr>
          <w:color w:val="auto"/>
        </w:rPr>
      </w:pPr>
      <w:r w:rsidRPr="00B90E82">
        <w:rPr>
          <w:color w:val="auto"/>
        </w:rPr>
        <w:t>(業務の対価)</w:t>
      </w:r>
    </w:p>
    <w:p w14:paraId="6B339990" w14:textId="5BCAD898" w:rsidR="006E4EB3" w:rsidRPr="00B90E82" w:rsidRDefault="006E4EB3" w:rsidP="006E4EB3">
      <w:pPr>
        <w:spacing w:after="0"/>
        <w:ind w:left="227" w:hanging="244"/>
        <w:rPr>
          <w:color w:val="auto"/>
        </w:rPr>
      </w:pPr>
      <w:r w:rsidRPr="00B90E82">
        <w:rPr>
          <w:rFonts w:hint="eastAsia"/>
          <w:color w:val="auto"/>
        </w:rPr>
        <w:t>第</w:t>
      </w:r>
      <w:r w:rsidR="006757FD" w:rsidRPr="00B90E82">
        <w:rPr>
          <w:rFonts w:hint="eastAsia"/>
          <w:color w:val="auto"/>
        </w:rPr>
        <w:t>３</w:t>
      </w:r>
      <w:r w:rsidRPr="00B90E82">
        <w:rPr>
          <w:color w:val="auto"/>
        </w:rPr>
        <w:t>条</w:t>
      </w:r>
      <w:r w:rsidRPr="00B90E82">
        <w:rPr>
          <w:rFonts w:hint="eastAsia"/>
          <w:color w:val="auto"/>
        </w:rPr>
        <w:t xml:space="preserve">　本件会員業務に係るセンター業務委託料</w:t>
      </w:r>
      <w:r w:rsidRPr="00B90E82">
        <w:rPr>
          <w:color w:val="auto"/>
        </w:rPr>
        <w:t>(利用規約第</w:t>
      </w:r>
      <w:r w:rsidR="00570AED" w:rsidRPr="00B90E82">
        <w:rPr>
          <w:rFonts w:hint="eastAsia"/>
          <w:color w:val="auto"/>
        </w:rPr>
        <w:t>５</w:t>
      </w:r>
      <w:r w:rsidRPr="00B90E82">
        <w:rPr>
          <w:color w:val="auto"/>
        </w:rPr>
        <w:t>条第</w:t>
      </w:r>
      <w:r w:rsidR="00570AED" w:rsidRPr="00B90E82">
        <w:rPr>
          <w:rFonts w:hint="eastAsia"/>
          <w:color w:val="auto"/>
        </w:rPr>
        <w:t>１</w:t>
      </w:r>
      <w:r w:rsidRPr="00B90E82">
        <w:rPr>
          <w:color w:val="auto"/>
        </w:rPr>
        <w:t>項に規定する</w:t>
      </w:r>
      <w:r w:rsidRPr="00B90E82">
        <w:rPr>
          <w:rFonts w:hint="eastAsia"/>
          <w:color w:val="auto"/>
        </w:rPr>
        <w:t>センター業務委託料をいう。</w:t>
      </w:r>
      <w:r w:rsidRPr="00B90E82">
        <w:rPr>
          <w:color w:val="auto"/>
        </w:rPr>
        <w:t>)の額及び会員業務委託料(利用規約第</w:t>
      </w:r>
      <w:r w:rsidR="00570AED" w:rsidRPr="00B90E82">
        <w:rPr>
          <w:rFonts w:hint="eastAsia"/>
          <w:color w:val="auto"/>
        </w:rPr>
        <w:t>２</w:t>
      </w:r>
      <w:r w:rsidRPr="00B90E82">
        <w:rPr>
          <w:color w:val="auto"/>
        </w:rPr>
        <w:t>条第</w:t>
      </w:r>
      <w:r w:rsidR="00570AED" w:rsidRPr="00B90E82">
        <w:rPr>
          <w:rFonts w:hint="eastAsia"/>
          <w:color w:val="auto"/>
        </w:rPr>
        <w:t>２</w:t>
      </w:r>
      <w:r w:rsidRPr="00B90E82">
        <w:rPr>
          <w:color w:val="auto"/>
        </w:rPr>
        <w:t>項</w:t>
      </w:r>
      <w:r w:rsidRPr="00B90E82">
        <w:rPr>
          <w:rFonts w:hint="eastAsia"/>
          <w:color w:val="auto"/>
        </w:rPr>
        <w:t>の会員業務委託料をいう。</w:t>
      </w:r>
      <w:r w:rsidRPr="00B90E82">
        <w:rPr>
          <w:color w:val="auto"/>
        </w:rPr>
        <w:t>)の合計額は、</w:t>
      </w:r>
      <w:r w:rsidRPr="00B90E82">
        <w:rPr>
          <w:rFonts w:hint="eastAsia"/>
          <w:color w:val="auto"/>
        </w:rPr>
        <w:t xml:space="preserve">　　　　　　　　</w:t>
      </w:r>
      <w:r w:rsidRPr="00B90E82">
        <w:rPr>
          <w:color w:val="auto"/>
        </w:rPr>
        <w:t>円</w:t>
      </w:r>
      <w:r w:rsidR="00545250" w:rsidRPr="00B90E82">
        <w:rPr>
          <w:rFonts w:hint="eastAsia"/>
          <w:color w:val="auto"/>
        </w:rPr>
        <w:t>（消費税額及び地方消費税額含む）</w:t>
      </w:r>
      <w:r w:rsidRPr="00B90E82">
        <w:rPr>
          <w:color w:val="auto"/>
        </w:rPr>
        <w:t>とする</w:t>
      </w:r>
      <w:r w:rsidR="006757FD" w:rsidRPr="00B90E82">
        <w:rPr>
          <w:rFonts w:hint="eastAsia"/>
          <w:color w:val="auto"/>
        </w:rPr>
        <w:t>。</w:t>
      </w:r>
    </w:p>
    <w:p w14:paraId="1DBC9017" w14:textId="78CB7138" w:rsidR="00A84070" w:rsidRPr="00B90E82" w:rsidRDefault="00C174BE" w:rsidP="00287800">
      <w:pPr>
        <w:numPr>
          <w:ilvl w:val="0"/>
          <w:numId w:val="4"/>
        </w:numPr>
        <w:ind w:left="252" w:hanging="242"/>
        <w:rPr>
          <w:color w:val="auto"/>
        </w:rPr>
      </w:pPr>
      <w:r w:rsidRPr="00B90E82">
        <w:rPr>
          <w:rFonts w:hint="eastAsia"/>
          <w:color w:val="auto"/>
        </w:rPr>
        <w:t xml:space="preserve">　</w:t>
      </w:r>
      <w:r w:rsidR="00970AA4" w:rsidRPr="00B90E82">
        <w:rPr>
          <w:color w:val="auto"/>
        </w:rPr>
        <w:t>業務実施日数に変更を生じる場合、</w:t>
      </w:r>
      <w:r w:rsidR="00902A87">
        <w:rPr>
          <w:rFonts w:hint="eastAsia"/>
          <w:color w:val="auto"/>
        </w:rPr>
        <w:t>本校農場及び鷺巣農場</w:t>
      </w:r>
      <w:r w:rsidR="002D1FB6">
        <w:rPr>
          <w:rFonts w:hint="eastAsia"/>
          <w:color w:val="auto"/>
        </w:rPr>
        <w:t>については、</w:t>
      </w:r>
      <w:r w:rsidR="00902A87">
        <w:rPr>
          <w:rFonts w:hint="eastAsia"/>
          <w:color w:val="auto"/>
        </w:rPr>
        <w:t>４月から12月までと３月の</w:t>
      </w:r>
      <w:r w:rsidR="00970AA4" w:rsidRPr="00B90E82">
        <w:rPr>
          <w:color w:val="auto"/>
        </w:rPr>
        <w:t>土曜日・日曜日及び休日は日額</w:t>
      </w:r>
      <w:r w:rsidR="000D740C">
        <w:rPr>
          <w:rFonts w:hint="eastAsia"/>
          <w:color w:val="auto"/>
        </w:rPr>
        <w:t xml:space="preserve">　　</w:t>
      </w:r>
      <w:r w:rsidR="00287800" w:rsidRPr="00B90E82">
        <w:rPr>
          <w:rFonts w:hint="eastAsia"/>
          <w:color w:val="auto"/>
        </w:rPr>
        <w:t xml:space="preserve">　　　</w:t>
      </w:r>
      <w:r w:rsidR="00970AA4" w:rsidRPr="00B90E82">
        <w:rPr>
          <w:color w:val="auto"/>
        </w:rPr>
        <w:t xml:space="preserve"> 円（消費税額及び地方消費税額含む）を、</w:t>
      </w:r>
      <w:r w:rsidR="000D740C">
        <w:rPr>
          <w:rFonts w:hint="eastAsia"/>
          <w:color w:val="auto"/>
        </w:rPr>
        <w:t>１月と２月の</w:t>
      </w:r>
      <w:r w:rsidR="00970AA4" w:rsidRPr="00B90E82">
        <w:rPr>
          <w:color w:val="auto"/>
        </w:rPr>
        <w:t>土曜日・日曜日及び休日は日額</w:t>
      </w:r>
      <w:r w:rsidR="002D1FB6">
        <w:rPr>
          <w:rFonts w:hint="eastAsia"/>
          <w:color w:val="auto"/>
        </w:rPr>
        <w:t xml:space="preserve">　</w:t>
      </w:r>
      <w:r w:rsidR="00287800" w:rsidRPr="00B90E82">
        <w:rPr>
          <w:rFonts w:hint="eastAsia"/>
          <w:color w:val="auto"/>
        </w:rPr>
        <w:t xml:space="preserve">　　　　</w:t>
      </w:r>
      <w:r w:rsidR="00970AA4" w:rsidRPr="00B90E82">
        <w:rPr>
          <w:color w:val="auto"/>
        </w:rPr>
        <w:t>円（消費税額及び地方消費税額含む）を、</w:t>
      </w:r>
      <w:r w:rsidR="002D1FB6">
        <w:rPr>
          <w:rFonts w:hint="eastAsia"/>
          <w:color w:val="auto"/>
        </w:rPr>
        <w:t>高島農場</w:t>
      </w:r>
      <w:r w:rsidR="00970AA4" w:rsidRPr="00B90E82">
        <w:rPr>
          <w:color w:val="auto"/>
        </w:rPr>
        <w:t>については</w:t>
      </w:r>
      <w:r w:rsidR="002D1FB6">
        <w:rPr>
          <w:rFonts w:hint="eastAsia"/>
          <w:color w:val="auto"/>
        </w:rPr>
        <w:t>、</w:t>
      </w:r>
      <w:r w:rsidR="00970AA4" w:rsidRPr="00B90E82">
        <w:rPr>
          <w:color w:val="auto"/>
        </w:rPr>
        <w:t>日額</w:t>
      </w:r>
      <w:r w:rsidR="002D1FB6">
        <w:rPr>
          <w:rFonts w:hint="eastAsia"/>
          <w:color w:val="auto"/>
        </w:rPr>
        <w:t xml:space="preserve">　</w:t>
      </w:r>
      <w:r w:rsidR="00970AA4" w:rsidRPr="00B90E82">
        <w:rPr>
          <w:color w:val="auto"/>
        </w:rPr>
        <w:tab/>
      </w:r>
      <w:r w:rsidR="00287800" w:rsidRPr="00B90E82">
        <w:rPr>
          <w:rFonts w:hint="eastAsia"/>
          <w:color w:val="auto"/>
        </w:rPr>
        <w:t xml:space="preserve">　　</w:t>
      </w:r>
      <w:r w:rsidR="00970AA4" w:rsidRPr="00B90E82">
        <w:rPr>
          <w:color w:val="auto"/>
        </w:rPr>
        <w:t>円（消費税額及び地方消費税額含む）を増減するものとする。</w:t>
      </w:r>
    </w:p>
    <w:p w14:paraId="65F07322" w14:textId="696D405F" w:rsidR="00A84070" w:rsidRPr="00B90E82" w:rsidRDefault="00287800" w:rsidP="00287800">
      <w:pPr>
        <w:spacing w:after="0"/>
        <w:ind w:left="240" w:hangingChars="100" w:hanging="240"/>
        <w:rPr>
          <w:color w:val="auto"/>
        </w:rPr>
      </w:pPr>
      <w:r w:rsidRPr="00B90E82">
        <w:rPr>
          <w:rFonts w:hint="eastAsia"/>
          <w:color w:val="auto"/>
        </w:rPr>
        <w:t xml:space="preserve">３　</w:t>
      </w:r>
      <w:r w:rsidR="00970AA4" w:rsidRPr="00B90E82">
        <w:rPr>
          <w:color w:val="auto"/>
        </w:rPr>
        <w:t>委託料は、</w:t>
      </w:r>
      <w:r w:rsidR="00EB177B" w:rsidRPr="00B90E82">
        <w:rPr>
          <w:rFonts w:hint="eastAsia"/>
          <w:color w:val="auto"/>
        </w:rPr>
        <w:t>センター</w:t>
      </w:r>
      <w:r w:rsidR="00970AA4" w:rsidRPr="00B90E82">
        <w:rPr>
          <w:color w:val="auto"/>
        </w:rPr>
        <w:t>が業務実施日数により、毎月、前月分の委託料を</w:t>
      </w:r>
      <w:r w:rsidR="002D1FB6">
        <w:rPr>
          <w:rFonts w:hint="eastAsia"/>
          <w:color w:val="auto"/>
        </w:rPr>
        <w:t>10</w:t>
      </w:r>
      <w:r w:rsidR="00B539C4" w:rsidRPr="00B90E82">
        <w:rPr>
          <w:rFonts w:hint="eastAsia"/>
          <w:color w:val="auto"/>
        </w:rPr>
        <w:t>日（土曜</w:t>
      </w:r>
      <w:r w:rsidR="002D1FB6">
        <w:rPr>
          <w:rFonts w:hint="eastAsia"/>
          <w:color w:val="auto"/>
        </w:rPr>
        <w:t>日</w:t>
      </w:r>
      <w:r w:rsidR="00B539C4" w:rsidRPr="00B90E82">
        <w:rPr>
          <w:rFonts w:hint="eastAsia"/>
          <w:color w:val="auto"/>
        </w:rPr>
        <w:t>・日曜日及び休日の場合はその前日）</w:t>
      </w:r>
      <w:r w:rsidR="00D37E18" w:rsidRPr="00B90E82">
        <w:rPr>
          <w:rFonts w:hint="eastAsia"/>
          <w:color w:val="auto"/>
        </w:rPr>
        <w:t>まで</w:t>
      </w:r>
      <w:r w:rsidR="00B539C4" w:rsidRPr="00B90E82">
        <w:rPr>
          <w:rFonts w:hint="eastAsia"/>
          <w:color w:val="auto"/>
        </w:rPr>
        <w:t>に</w:t>
      </w:r>
      <w:r w:rsidR="00D37E18" w:rsidRPr="00B90E82">
        <w:rPr>
          <w:rFonts w:hint="eastAsia"/>
          <w:color w:val="auto"/>
        </w:rPr>
        <w:t>発注者に対して</w:t>
      </w:r>
      <w:r w:rsidR="00970AA4" w:rsidRPr="00B90E82">
        <w:rPr>
          <w:color w:val="auto"/>
        </w:rPr>
        <w:t>請求し、</w:t>
      </w:r>
      <w:r w:rsidR="00EB177B" w:rsidRPr="00B90E82">
        <w:rPr>
          <w:rFonts w:hint="eastAsia"/>
          <w:color w:val="auto"/>
        </w:rPr>
        <w:t>発注者</w:t>
      </w:r>
      <w:r w:rsidR="00970AA4" w:rsidRPr="00B90E82">
        <w:rPr>
          <w:color w:val="auto"/>
        </w:rPr>
        <w:t>は内容を審査の上、</w:t>
      </w:r>
      <w:r w:rsidR="002D1FB6">
        <w:rPr>
          <w:rFonts w:hint="eastAsia"/>
          <w:color w:val="auto"/>
        </w:rPr>
        <w:t>月末</w:t>
      </w:r>
      <w:r w:rsidR="00B539C4" w:rsidRPr="00B90E82">
        <w:rPr>
          <w:rFonts w:hint="eastAsia"/>
          <w:color w:val="auto"/>
        </w:rPr>
        <w:t>（土曜日・日曜日及び休日の場合はその前日）</w:t>
      </w:r>
      <w:r w:rsidR="002D1FB6">
        <w:rPr>
          <w:rFonts w:hint="eastAsia"/>
          <w:color w:val="auto"/>
        </w:rPr>
        <w:t>まで</w:t>
      </w:r>
      <w:r w:rsidR="00970AA4" w:rsidRPr="00B90E82">
        <w:rPr>
          <w:color w:val="auto"/>
        </w:rPr>
        <w:t>に支払うものとする。</w:t>
      </w:r>
    </w:p>
    <w:p w14:paraId="44588426" w14:textId="77777777" w:rsidR="00B63441" w:rsidRPr="00B90E82" w:rsidRDefault="00B63441" w:rsidP="00EC7A2E">
      <w:pPr>
        <w:spacing w:after="0"/>
        <w:rPr>
          <w:color w:val="auto"/>
        </w:rPr>
      </w:pPr>
    </w:p>
    <w:p w14:paraId="3E2550A3" w14:textId="5D453D96" w:rsidR="00EB177B" w:rsidRPr="00B90E82" w:rsidRDefault="00EB177B" w:rsidP="00EC7A2E">
      <w:pPr>
        <w:spacing w:after="0"/>
        <w:rPr>
          <w:color w:val="auto"/>
        </w:rPr>
      </w:pPr>
      <w:r w:rsidRPr="00B90E82">
        <w:rPr>
          <w:rFonts w:hint="eastAsia"/>
          <w:color w:val="auto"/>
        </w:rPr>
        <w:t>（有効期間）</w:t>
      </w:r>
    </w:p>
    <w:p w14:paraId="3477B784" w14:textId="7904652D" w:rsidR="00EB177B" w:rsidRPr="00B90E82" w:rsidRDefault="00EB177B" w:rsidP="00EC7A2E">
      <w:pPr>
        <w:spacing w:after="0"/>
        <w:rPr>
          <w:color w:val="auto"/>
        </w:rPr>
      </w:pPr>
      <w:r w:rsidRPr="00B90E82">
        <w:rPr>
          <w:rFonts w:hint="eastAsia"/>
          <w:color w:val="auto"/>
        </w:rPr>
        <w:t>第</w:t>
      </w:r>
      <w:r w:rsidR="00536DC7" w:rsidRPr="00B90E82">
        <w:rPr>
          <w:rFonts w:hint="eastAsia"/>
          <w:color w:val="auto"/>
        </w:rPr>
        <w:t>４条</w:t>
      </w:r>
      <w:r w:rsidR="00EC7A2E" w:rsidRPr="00B90E82">
        <w:rPr>
          <w:rFonts w:hint="eastAsia"/>
          <w:color w:val="auto"/>
        </w:rPr>
        <w:t xml:space="preserve">　</w:t>
      </w:r>
      <w:r w:rsidRPr="00B90E82">
        <w:rPr>
          <w:rFonts w:hint="eastAsia"/>
          <w:color w:val="auto"/>
        </w:rPr>
        <w:t>本契約の有効期間は、</w:t>
      </w:r>
      <w:r w:rsidR="00536DC7" w:rsidRPr="00B90E82">
        <w:rPr>
          <w:rFonts w:hint="eastAsia"/>
          <w:color w:val="auto"/>
        </w:rPr>
        <w:t>令和</w:t>
      </w:r>
      <w:r w:rsidR="005B2E7E">
        <w:rPr>
          <w:rFonts w:hint="eastAsia"/>
          <w:color w:val="auto"/>
        </w:rPr>
        <w:t>８</w:t>
      </w:r>
      <w:r w:rsidRPr="00B90E82">
        <w:rPr>
          <w:color w:val="auto"/>
        </w:rPr>
        <w:t>年</w:t>
      </w:r>
      <w:r w:rsidR="005B2E7E">
        <w:rPr>
          <w:rFonts w:hint="eastAsia"/>
          <w:color w:val="auto"/>
        </w:rPr>
        <w:t>４</w:t>
      </w:r>
      <w:r w:rsidRPr="00B90E82">
        <w:rPr>
          <w:color w:val="auto"/>
        </w:rPr>
        <w:t>月</w:t>
      </w:r>
      <w:r w:rsidR="005B2E7E">
        <w:rPr>
          <w:rFonts w:hint="eastAsia"/>
          <w:color w:val="auto"/>
        </w:rPr>
        <w:t>１</w:t>
      </w:r>
      <w:r w:rsidRPr="00B90E82">
        <w:rPr>
          <w:color w:val="auto"/>
        </w:rPr>
        <w:t>日から</w:t>
      </w:r>
      <w:r w:rsidR="00536DC7" w:rsidRPr="00B90E82">
        <w:rPr>
          <w:rFonts w:hint="eastAsia"/>
          <w:color w:val="auto"/>
        </w:rPr>
        <w:t>令和</w:t>
      </w:r>
      <w:r w:rsidR="005B2E7E">
        <w:rPr>
          <w:rFonts w:hint="eastAsia"/>
          <w:color w:val="auto"/>
        </w:rPr>
        <w:t>９年３</w:t>
      </w:r>
      <w:r w:rsidRPr="00B90E82">
        <w:rPr>
          <w:color w:val="auto"/>
        </w:rPr>
        <w:t>月</w:t>
      </w:r>
      <w:r w:rsidR="005B2E7E">
        <w:rPr>
          <w:rFonts w:hint="eastAsia"/>
          <w:color w:val="auto"/>
        </w:rPr>
        <w:t>31</w:t>
      </w:r>
      <w:r w:rsidRPr="00B90E82">
        <w:rPr>
          <w:color w:val="auto"/>
        </w:rPr>
        <w:t>日までとす</w:t>
      </w:r>
      <w:r w:rsidRPr="00B90E82">
        <w:rPr>
          <w:rFonts w:hint="eastAsia"/>
          <w:color w:val="auto"/>
        </w:rPr>
        <w:t>る。</w:t>
      </w:r>
    </w:p>
    <w:p w14:paraId="324959AA" w14:textId="77777777" w:rsidR="00B63441" w:rsidRPr="00B90E82" w:rsidRDefault="00B63441" w:rsidP="00EC7A2E">
      <w:pPr>
        <w:spacing w:after="0"/>
        <w:rPr>
          <w:color w:val="auto"/>
        </w:rPr>
      </w:pPr>
    </w:p>
    <w:p w14:paraId="42AD46A9" w14:textId="77777777" w:rsidR="00A84070" w:rsidRPr="00B90E82" w:rsidRDefault="00970AA4">
      <w:pPr>
        <w:ind w:left="-5"/>
        <w:rPr>
          <w:color w:val="auto"/>
        </w:rPr>
      </w:pPr>
      <w:r w:rsidRPr="00B90E82">
        <w:rPr>
          <w:color w:val="auto"/>
        </w:rPr>
        <w:lastRenderedPageBreak/>
        <w:t>(賠償責任)</w:t>
      </w:r>
    </w:p>
    <w:p w14:paraId="0C7C9492" w14:textId="6031ADCE" w:rsidR="00A84070" w:rsidRPr="00B90E82" w:rsidRDefault="00970AA4">
      <w:pPr>
        <w:spacing w:after="292"/>
        <w:ind w:left="227" w:hanging="242"/>
        <w:rPr>
          <w:color w:val="auto"/>
        </w:rPr>
      </w:pPr>
      <w:r w:rsidRPr="00B90E82">
        <w:rPr>
          <w:color w:val="auto"/>
        </w:rPr>
        <w:t>第</w:t>
      </w:r>
      <w:r w:rsidR="00EC7A2E" w:rsidRPr="00B90E82">
        <w:rPr>
          <w:rFonts w:hint="eastAsia"/>
          <w:color w:val="auto"/>
        </w:rPr>
        <w:t>５</w:t>
      </w:r>
      <w:r w:rsidRPr="00B90E82">
        <w:rPr>
          <w:color w:val="auto"/>
        </w:rPr>
        <w:t>条</w:t>
      </w:r>
      <w:r w:rsidR="00771683" w:rsidRPr="00B90E82">
        <w:rPr>
          <w:rFonts w:hint="eastAsia"/>
          <w:color w:val="auto"/>
        </w:rPr>
        <w:t xml:space="preserve">　</w:t>
      </w:r>
      <w:r w:rsidR="003B6537" w:rsidRPr="00B90E82">
        <w:rPr>
          <w:rFonts w:hint="eastAsia"/>
          <w:color w:val="auto"/>
        </w:rPr>
        <w:t>センター</w:t>
      </w:r>
      <w:r w:rsidRPr="00B90E82">
        <w:rPr>
          <w:color w:val="auto"/>
        </w:rPr>
        <w:t>は、業務の実施中において、</w:t>
      </w:r>
      <w:r w:rsidR="003B6537" w:rsidRPr="00B90E82">
        <w:rPr>
          <w:rFonts w:hint="eastAsia"/>
          <w:color w:val="auto"/>
        </w:rPr>
        <w:t>センター又は会員の</w:t>
      </w:r>
      <w:r w:rsidR="00DB39CA">
        <w:rPr>
          <w:rFonts w:hint="eastAsia"/>
          <w:color w:val="auto"/>
        </w:rPr>
        <w:t>責め</w:t>
      </w:r>
      <w:r w:rsidR="003B6537" w:rsidRPr="00B90E82">
        <w:rPr>
          <w:rFonts w:hint="eastAsia"/>
          <w:color w:val="auto"/>
        </w:rPr>
        <w:t>に帰すべき理由に</w:t>
      </w:r>
      <w:r w:rsidRPr="00B90E82">
        <w:rPr>
          <w:color w:val="auto"/>
        </w:rPr>
        <w:t>より、</w:t>
      </w:r>
      <w:r w:rsidR="003B6537" w:rsidRPr="00B90E82">
        <w:rPr>
          <w:rFonts w:hint="eastAsia"/>
          <w:color w:val="auto"/>
        </w:rPr>
        <w:t>発注者</w:t>
      </w:r>
      <w:r w:rsidRPr="00B90E82">
        <w:rPr>
          <w:color w:val="auto"/>
        </w:rPr>
        <w:t>又は第三者に損害を与えたときは、その賠償の責任を負うものとする。</w:t>
      </w:r>
    </w:p>
    <w:p w14:paraId="225C49FB" w14:textId="334EA60A" w:rsidR="00A84070" w:rsidRPr="00B90E82" w:rsidRDefault="00970AA4">
      <w:pPr>
        <w:ind w:left="-5"/>
        <w:rPr>
          <w:color w:val="auto"/>
        </w:rPr>
      </w:pPr>
      <w:r w:rsidRPr="00B90E82">
        <w:rPr>
          <w:color w:val="auto"/>
        </w:rPr>
        <w:t>(</w:t>
      </w:r>
      <w:r w:rsidR="00EB4E37" w:rsidRPr="00B90E82">
        <w:rPr>
          <w:rFonts w:hint="eastAsia"/>
          <w:color w:val="auto"/>
        </w:rPr>
        <w:t>発注者</w:t>
      </w:r>
      <w:r w:rsidRPr="00B90E82">
        <w:rPr>
          <w:color w:val="auto"/>
        </w:rPr>
        <w:t>の契約解除権)</w:t>
      </w:r>
    </w:p>
    <w:p w14:paraId="498EEAB7" w14:textId="30DC2E7B" w:rsidR="00A84070" w:rsidRPr="00B90E82" w:rsidRDefault="00970AA4">
      <w:pPr>
        <w:ind w:left="227" w:hanging="242"/>
        <w:rPr>
          <w:color w:val="auto"/>
        </w:rPr>
      </w:pPr>
      <w:r w:rsidRPr="00B90E82">
        <w:rPr>
          <w:color w:val="auto"/>
        </w:rPr>
        <w:t>第</w:t>
      </w:r>
      <w:r w:rsidR="00EC7A2E" w:rsidRPr="00B90E82">
        <w:rPr>
          <w:rFonts w:hint="eastAsia"/>
          <w:color w:val="auto"/>
        </w:rPr>
        <w:t>６</w:t>
      </w:r>
      <w:r w:rsidRPr="00B90E82">
        <w:rPr>
          <w:color w:val="auto"/>
        </w:rPr>
        <w:t>条</w:t>
      </w:r>
      <w:r w:rsidR="00771683" w:rsidRPr="00B90E82">
        <w:rPr>
          <w:rFonts w:hint="eastAsia"/>
          <w:color w:val="auto"/>
        </w:rPr>
        <w:t xml:space="preserve">　</w:t>
      </w:r>
      <w:r w:rsidR="00EB4E37" w:rsidRPr="00B90E82">
        <w:rPr>
          <w:rFonts w:hint="eastAsia"/>
          <w:color w:val="auto"/>
        </w:rPr>
        <w:t>発注者</w:t>
      </w:r>
      <w:r w:rsidRPr="00B90E82">
        <w:rPr>
          <w:color w:val="auto"/>
        </w:rPr>
        <w:t>は、次の各号の一に該当する理由が生じた場合は、この契約を解除することができる。</w:t>
      </w:r>
      <w:r w:rsidR="00B63441" w:rsidRPr="00B90E82">
        <w:rPr>
          <w:rFonts w:hint="eastAsia"/>
          <w:color w:val="auto"/>
        </w:rPr>
        <w:t xml:space="preserve">　</w:t>
      </w:r>
    </w:p>
    <w:p w14:paraId="58E1246E" w14:textId="77777777" w:rsidR="005D61D0" w:rsidRDefault="00B63441" w:rsidP="00D37E18">
      <w:pPr>
        <w:pStyle w:val="a3"/>
        <w:numPr>
          <w:ilvl w:val="0"/>
          <w:numId w:val="5"/>
        </w:numPr>
        <w:ind w:leftChars="0" w:left="242" w:firstLine="0"/>
        <w:rPr>
          <w:color w:val="auto"/>
        </w:rPr>
      </w:pPr>
      <w:r w:rsidRPr="005D61D0">
        <w:rPr>
          <w:rFonts w:hint="eastAsia"/>
          <w:color w:val="auto"/>
        </w:rPr>
        <w:t xml:space="preserve"> </w:t>
      </w:r>
      <w:r w:rsidR="00B11ABB" w:rsidRPr="005D61D0">
        <w:rPr>
          <w:rFonts w:hint="eastAsia"/>
          <w:color w:val="auto"/>
        </w:rPr>
        <w:t>センター</w:t>
      </w:r>
      <w:r w:rsidR="00970AA4" w:rsidRPr="005D61D0">
        <w:rPr>
          <w:color w:val="auto"/>
        </w:rPr>
        <w:t>がこの契約に違反したとき、又は契約の履行が不完全だと甲が認めた</w:t>
      </w:r>
      <w:r w:rsidR="005D61D0" w:rsidRPr="005D61D0">
        <w:rPr>
          <w:rFonts w:hint="eastAsia"/>
          <w:color w:val="auto"/>
        </w:rPr>
        <w:t>と</w:t>
      </w:r>
    </w:p>
    <w:p w14:paraId="0ACF41BB" w14:textId="1AC35E8C" w:rsidR="00A84070" w:rsidRPr="005D61D0" w:rsidRDefault="005D61D0" w:rsidP="005D61D0">
      <w:pPr>
        <w:ind w:left="242" w:firstLineChars="50" w:firstLine="120"/>
        <w:rPr>
          <w:color w:val="auto"/>
        </w:rPr>
      </w:pPr>
      <w:r w:rsidRPr="005D61D0">
        <w:rPr>
          <w:rFonts w:hint="eastAsia"/>
          <w:color w:val="auto"/>
        </w:rPr>
        <w:t xml:space="preserve">　き。</w:t>
      </w:r>
    </w:p>
    <w:p w14:paraId="4C194ED7" w14:textId="0DECB653" w:rsidR="00A84070" w:rsidRPr="00B90E82" w:rsidRDefault="002C1E90" w:rsidP="00D37E18">
      <w:pPr>
        <w:numPr>
          <w:ilvl w:val="0"/>
          <w:numId w:val="9"/>
        </w:numPr>
        <w:rPr>
          <w:color w:val="auto"/>
        </w:rPr>
      </w:pPr>
      <w:r w:rsidRPr="00B90E82">
        <w:rPr>
          <w:rFonts w:hint="eastAsia"/>
          <w:color w:val="auto"/>
        </w:rPr>
        <w:t xml:space="preserve"> </w:t>
      </w:r>
      <w:r w:rsidR="00B11ABB" w:rsidRPr="00B90E82">
        <w:rPr>
          <w:rFonts w:hint="eastAsia"/>
          <w:color w:val="auto"/>
        </w:rPr>
        <w:t>センター</w:t>
      </w:r>
      <w:r w:rsidR="00970AA4" w:rsidRPr="00B90E82">
        <w:rPr>
          <w:color w:val="auto"/>
        </w:rPr>
        <w:t>が故意又は重大な過失により、</w:t>
      </w:r>
      <w:r w:rsidR="00B11ABB" w:rsidRPr="00B90E82">
        <w:rPr>
          <w:rFonts w:hint="eastAsia"/>
          <w:color w:val="auto"/>
        </w:rPr>
        <w:t>発注者</w:t>
      </w:r>
      <w:r w:rsidR="00970AA4" w:rsidRPr="00B90E82">
        <w:rPr>
          <w:color w:val="auto"/>
        </w:rPr>
        <w:t>に損害を与えたとき。</w:t>
      </w:r>
    </w:p>
    <w:p w14:paraId="7992A743" w14:textId="5984BC52" w:rsidR="002C1E90" w:rsidRPr="00B90E82" w:rsidRDefault="002C1E90" w:rsidP="002C1E90">
      <w:pPr>
        <w:numPr>
          <w:ilvl w:val="0"/>
          <w:numId w:val="9"/>
        </w:numPr>
        <w:spacing w:after="0" w:line="301" w:lineRule="auto"/>
        <w:rPr>
          <w:color w:val="auto"/>
        </w:rPr>
      </w:pPr>
      <w:r w:rsidRPr="00B90E82">
        <w:rPr>
          <w:rFonts w:hint="eastAsia"/>
          <w:color w:val="auto"/>
        </w:rPr>
        <w:t xml:space="preserve"> </w:t>
      </w:r>
      <w:r w:rsidR="00970AA4" w:rsidRPr="00B90E82">
        <w:rPr>
          <w:color w:val="auto"/>
        </w:rPr>
        <w:t>正当な理由により</w:t>
      </w:r>
      <w:r w:rsidR="00B11ABB" w:rsidRPr="00B90E82">
        <w:rPr>
          <w:rFonts w:hint="eastAsia"/>
          <w:color w:val="auto"/>
        </w:rPr>
        <w:t>センター</w:t>
      </w:r>
      <w:r w:rsidR="00970AA4" w:rsidRPr="00B90E82">
        <w:rPr>
          <w:color w:val="auto"/>
        </w:rPr>
        <w:t>が</w:t>
      </w:r>
      <w:r w:rsidR="00B11ABB" w:rsidRPr="00B90E82">
        <w:rPr>
          <w:rFonts w:hint="eastAsia"/>
          <w:color w:val="auto"/>
        </w:rPr>
        <w:t>発注者</w:t>
      </w:r>
      <w:r w:rsidR="00970AA4" w:rsidRPr="00B90E82">
        <w:rPr>
          <w:color w:val="auto"/>
        </w:rPr>
        <w:t>に対し契約の解除を申し出たとき。この</w:t>
      </w:r>
      <w:r w:rsidR="00771683" w:rsidRPr="00B90E82">
        <w:rPr>
          <w:rFonts w:hint="eastAsia"/>
          <w:color w:val="auto"/>
        </w:rPr>
        <w:t>場</w:t>
      </w:r>
      <w:r w:rsidRPr="00B90E82">
        <w:rPr>
          <w:rFonts w:hint="eastAsia"/>
          <w:color w:val="auto"/>
        </w:rPr>
        <w:t>合に</w:t>
      </w:r>
    </w:p>
    <w:p w14:paraId="2058CD5F" w14:textId="3A5406F9" w:rsidR="00D37E18" w:rsidRPr="00B90E82" w:rsidRDefault="00970AA4" w:rsidP="002C1E90">
      <w:pPr>
        <w:spacing w:after="0" w:line="300" w:lineRule="auto"/>
        <w:ind w:firstLineChars="200" w:firstLine="480"/>
        <w:rPr>
          <w:color w:val="auto"/>
        </w:rPr>
      </w:pPr>
      <w:r w:rsidRPr="00B90E82">
        <w:rPr>
          <w:color w:val="auto"/>
        </w:rPr>
        <w:t>おいて、</w:t>
      </w:r>
      <w:r w:rsidR="00B11ABB" w:rsidRPr="00B90E82">
        <w:rPr>
          <w:rFonts w:hint="eastAsia"/>
          <w:color w:val="auto"/>
        </w:rPr>
        <w:t>センター</w:t>
      </w:r>
      <w:r w:rsidRPr="00B90E82">
        <w:rPr>
          <w:color w:val="auto"/>
        </w:rPr>
        <w:t>は、解除予定日の１か月前までに申し出なければならな</w:t>
      </w:r>
      <w:r w:rsidR="00771683" w:rsidRPr="00B90E82">
        <w:rPr>
          <w:rFonts w:hint="eastAsia"/>
          <w:color w:val="auto"/>
        </w:rPr>
        <w:t>い。</w:t>
      </w:r>
    </w:p>
    <w:p w14:paraId="4E14235C" w14:textId="3754C622" w:rsidR="00A84070" w:rsidRPr="00B90E82" w:rsidRDefault="002C1E90" w:rsidP="00D37E18">
      <w:pPr>
        <w:numPr>
          <w:ilvl w:val="0"/>
          <w:numId w:val="9"/>
        </w:numPr>
        <w:spacing w:after="319"/>
        <w:rPr>
          <w:color w:val="auto"/>
        </w:rPr>
      </w:pPr>
      <w:r w:rsidRPr="00B90E82">
        <w:rPr>
          <w:rFonts w:hint="eastAsia"/>
          <w:color w:val="auto"/>
        </w:rPr>
        <w:t xml:space="preserve"> </w:t>
      </w:r>
      <w:r w:rsidR="00B11ABB" w:rsidRPr="00B90E82">
        <w:rPr>
          <w:rFonts w:hint="eastAsia"/>
          <w:color w:val="auto"/>
        </w:rPr>
        <w:t>発注者</w:t>
      </w:r>
      <w:r w:rsidR="00970AA4" w:rsidRPr="00B90E82">
        <w:rPr>
          <w:color w:val="auto"/>
        </w:rPr>
        <w:t>の</w:t>
      </w:r>
      <w:r w:rsidR="00C42B8D">
        <w:rPr>
          <w:rFonts w:hint="eastAsia"/>
          <w:color w:val="auto"/>
        </w:rPr>
        <w:t>農場</w:t>
      </w:r>
      <w:r w:rsidR="00970AA4" w:rsidRPr="00B90E82">
        <w:rPr>
          <w:color w:val="auto"/>
        </w:rPr>
        <w:t>管理業務方針が変更されたとき。</w:t>
      </w:r>
    </w:p>
    <w:p w14:paraId="759D4F2C" w14:textId="21A4C61B" w:rsidR="00A84070" w:rsidRPr="00B90E82" w:rsidRDefault="00970AA4">
      <w:pPr>
        <w:ind w:left="225" w:hanging="240"/>
        <w:rPr>
          <w:color w:val="auto"/>
        </w:rPr>
      </w:pPr>
      <w:r w:rsidRPr="00B90E82">
        <w:rPr>
          <w:color w:val="auto"/>
        </w:rPr>
        <w:t>第</w:t>
      </w:r>
      <w:r w:rsidR="00EC7A2E" w:rsidRPr="00B90E82">
        <w:rPr>
          <w:rFonts w:hint="eastAsia"/>
          <w:color w:val="auto"/>
        </w:rPr>
        <w:t>６</w:t>
      </w:r>
      <w:r w:rsidRPr="00B90E82">
        <w:rPr>
          <w:color w:val="auto"/>
        </w:rPr>
        <w:t>条の２</w:t>
      </w:r>
      <w:r w:rsidR="00771683" w:rsidRPr="00B90E82">
        <w:rPr>
          <w:rFonts w:hint="eastAsia"/>
          <w:color w:val="auto"/>
        </w:rPr>
        <w:t xml:space="preserve">　</w:t>
      </w:r>
      <w:r w:rsidR="00B11ABB" w:rsidRPr="00B90E82">
        <w:rPr>
          <w:rFonts w:hint="eastAsia"/>
          <w:color w:val="auto"/>
        </w:rPr>
        <w:t>発注者</w:t>
      </w:r>
      <w:r w:rsidRPr="00B90E82">
        <w:rPr>
          <w:color w:val="auto"/>
        </w:rPr>
        <w:t>は、前条に定める場合のほか、</w:t>
      </w:r>
      <w:r w:rsidR="00B11ABB" w:rsidRPr="00B90E82">
        <w:rPr>
          <w:rFonts w:hint="eastAsia"/>
          <w:color w:val="auto"/>
        </w:rPr>
        <w:t>センター</w:t>
      </w:r>
      <w:r w:rsidR="009E09EA" w:rsidRPr="00B90E82">
        <w:rPr>
          <w:rFonts w:hint="eastAsia"/>
          <w:color w:val="auto"/>
        </w:rPr>
        <w:t>等（</w:t>
      </w:r>
      <w:r w:rsidR="00D016D7" w:rsidRPr="00B90E82">
        <w:rPr>
          <w:rFonts w:hint="eastAsia"/>
          <w:color w:val="auto"/>
        </w:rPr>
        <w:t>センター及び</w:t>
      </w:r>
      <w:r w:rsidR="009E09EA" w:rsidRPr="00B90E82">
        <w:rPr>
          <w:rFonts w:hint="eastAsia"/>
          <w:color w:val="auto"/>
        </w:rPr>
        <w:t>本業務に従事する会員</w:t>
      </w:r>
      <w:r w:rsidR="0090784C" w:rsidRPr="00B90E82">
        <w:rPr>
          <w:rFonts w:hint="eastAsia"/>
          <w:color w:val="auto"/>
        </w:rPr>
        <w:t>を</w:t>
      </w:r>
      <w:r w:rsidR="009E09EA" w:rsidRPr="00B90E82">
        <w:rPr>
          <w:rFonts w:hint="eastAsia"/>
          <w:color w:val="auto"/>
        </w:rPr>
        <w:t>いう。以下この項において同じ。）</w:t>
      </w:r>
      <w:r w:rsidRPr="00B90E82">
        <w:rPr>
          <w:color w:val="auto"/>
        </w:rPr>
        <w:t>が次の各号のいずれかに 該当する場合は、契約を解除し、又は打ち切ることができる。</w:t>
      </w:r>
    </w:p>
    <w:p w14:paraId="208E3FF4" w14:textId="77777777" w:rsidR="002C1E90" w:rsidRPr="00B90E82" w:rsidRDefault="002C1E90" w:rsidP="002C1E90">
      <w:pPr>
        <w:numPr>
          <w:ilvl w:val="0"/>
          <w:numId w:val="6"/>
        </w:numPr>
        <w:ind w:left="601" w:hanging="431"/>
        <w:rPr>
          <w:color w:val="auto"/>
        </w:rPr>
      </w:pPr>
      <w:r w:rsidRPr="00B90E82">
        <w:rPr>
          <w:rFonts w:hint="eastAsia"/>
          <w:color w:val="auto"/>
        </w:rPr>
        <w:t xml:space="preserve"> </w:t>
      </w:r>
      <w:r w:rsidR="00970AA4" w:rsidRPr="00B90E82">
        <w:rPr>
          <w:color w:val="auto"/>
        </w:rPr>
        <w:t>公正取引委員会が、</w:t>
      </w:r>
      <w:r w:rsidR="00B11ABB" w:rsidRPr="00B90E82">
        <w:rPr>
          <w:rFonts w:hint="eastAsia"/>
          <w:color w:val="auto"/>
        </w:rPr>
        <w:t>センター</w:t>
      </w:r>
      <w:r w:rsidR="009E09EA" w:rsidRPr="00B90E82">
        <w:rPr>
          <w:rFonts w:hint="eastAsia"/>
          <w:color w:val="auto"/>
        </w:rPr>
        <w:t>等</w:t>
      </w:r>
      <w:r w:rsidR="00970AA4" w:rsidRPr="00B90E82">
        <w:rPr>
          <w:color w:val="auto"/>
        </w:rPr>
        <w:t>に違反行為があったとして私的独占の禁止及び公正</w:t>
      </w:r>
    </w:p>
    <w:p w14:paraId="2EF33828" w14:textId="699BFEE3" w:rsidR="00A84070" w:rsidRPr="00B90E82" w:rsidRDefault="00970AA4" w:rsidP="002C1E90">
      <w:pPr>
        <w:ind w:leftChars="200" w:left="480" w:firstLine="0"/>
        <w:rPr>
          <w:color w:val="auto"/>
        </w:rPr>
      </w:pPr>
      <w:r w:rsidRPr="00B90E82">
        <w:rPr>
          <w:color w:val="auto"/>
        </w:rPr>
        <w:t>取引の確保に関する法律（昭和22年法律第54号。以下「独占禁止法」という｡)第７条第１項若しくは第２項（第８条の２第２項及び第20条第２項において準用する場合を含む｡)、第８条の２第１項若しくは第３項、第17条の２又は第20条第１項の規定による命令（以下「排除措置命令」という｡)を行った場合において、当該排除措置命令があったことを知った日から６箇月間又は当該排除措置命令の日から１年間（以下この号において「出訴期間」という｡)を経過したとき（出訴期間内に当該排除措置命令について処分の取消しの訴えが提起されたときを除く｡)。</w:t>
      </w:r>
    </w:p>
    <w:p w14:paraId="5A9A7BF1" w14:textId="77777777" w:rsidR="002C1E90" w:rsidRPr="00B90E82" w:rsidRDefault="002C1E90">
      <w:pPr>
        <w:numPr>
          <w:ilvl w:val="0"/>
          <w:numId w:val="6"/>
        </w:numPr>
        <w:spacing w:after="27"/>
        <w:ind w:hanging="432"/>
        <w:rPr>
          <w:color w:val="auto"/>
        </w:rPr>
      </w:pPr>
      <w:r w:rsidRPr="00B90E82">
        <w:rPr>
          <w:rFonts w:hint="eastAsia"/>
          <w:color w:val="auto"/>
        </w:rPr>
        <w:t xml:space="preserve"> </w:t>
      </w:r>
      <w:r w:rsidR="00970AA4" w:rsidRPr="00B90E82">
        <w:rPr>
          <w:color w:val="auto"/>
        </w:rPr>
        <w:t>公正取引委員会が、</w:t>
      </w:r>
      <w:r w:rsidR="00B11ABB" w:rsidRPr="00B90E82">
        <w:rPr>
          <w:rFonts w:hint="eastAsia"/>
          <w:color w:val="auto"/>
        </w:rPr>
        <w:t>センター</w:t>
      </w:r>
      <w:r w:rsidR="009E09EA" w:rsidRPr="00B90E82">
        <w:rPr>
          <w:rFonts w:hint="eastAsia"/>
          <w:color w:val="auto"/>
        </w:rPr>
        <w:t>等</w:t>
      </w:r>
      <w:r w:rsidR="00970AA4" w:rsidRPr="00B90E82">
        <w:rPr>
          <w:color w:val="auto"/>
        </w:rPr>
        <w:t>に違反行為があったとして独占禁止法第７条の２第</w:t>
      </w:r>
    </w:p>
    <w:p w14:paraId="43BE2308" w14:textId="7391C389" w:rsidR="00A84070" w:rsidRPr="00B90E82" w:rsidRDefault="00970AA4" w:rsidP="002C1E90">
      <w:pPr>
        <w:spacing w:after="27"/>
        <w:ind w:leftChars="200" w:left="480" w:firstLine="0"/>
        <w:rPr>
          <w:color w:val="auto"/>
        </w:rPr>
      </w:pPr>
      <w:r w:rsidRPr="00B90E82">
        <w:rPr>
          <w:color w:val="auto"/>
        </w:rPr>
        <w:t>１項（同条第２項及び第８条の３において読み替えて準用する場合を含む｡)の規定に</w:t>
      </w:r>
      <w:r w:rsidR="002C1E90" w:rsidRPr="00B90E82">
        <w:rPr>
          <w:rFonts w:hint="eastAsia"/>
          <w:color w:val="auto"/>
        </w:rPr>
        <w:t xml:space="preserve"> </w:t>
      </w:r>
      <w:r w:rsidRPr="00B90E82">
        <w:rPr>
          <w:color w:val="auto"/>
        </w:rPr>
        <w:t>よる命令（以下「課徴金納付命令」という｡)を行った場合において、当該課徴金納付命令があったことを知った日から６箇月間又は当該課徴金納付命令の日から１年間（以下この号において「出訴期間」という｡)を経過したとき（出訴期間内に当該課徴金納付命令について処分の取消しの訴えが提起されたときを除く｡)。</w:t>
      </w:r>
    </w:p>
    <w:p w14:paraId="7052D533" w14:textId="3A0749B1" w:rsidR="00A84070" w:rsidRPr="00B90E82" w:rsidRDefault="002C1E90">
      <w:pPr>
        <w:numPr>
          <w:ilvl w:val="0"/>
          <w:numId w:val="6"/>
        </w:numPr>
        <w:ind w:hanging="432"/>
        <w:rPr>
          <w:color w:val="auto"/>
        </w:rPr>
      </w:pPr>
      <w:r w:rsidRPr="00B90E82">
        <w:rPr>
          <w:rFonts w:hint="eastAsia"/>
          <w:color w:val="auto"/>
        </w:rPr>
        <w:t xml:space="preserve"> </w:t>
      </w:r>
      <w:r w:rsidR="00B11ABB" w:rsidRPr="00B90E82">
        <w:rPr>
          <w:rFonts w:hint="eastAsia"/>
          <w:color w:val="auto"/>
        </w:rPr>
        <w:t>センター</w:t>
      </w:r>
      <w:r w:rsidR="009E09EA" w:rsidRPr="00B90E82">
        <w:rPr>
          <w:rFonts w:hint="eastAsia"/>
          <w:color w:val="auto"/>
        </w:rPr>
        <w:t>等</w:t>
      </w:r>
      <w:r w:rsidR="00970AA4" w:rsidRPr="00B90E82">
        <w:rPr>
          <w:color w:val="auto"/>
        </w:rPr>
        <w:t>が、排除措置命令又は課徴金納付命令に対し、処分の取消しの訴えを提起し、当該訴えについて請求棄却又は訴え却下の判決が確定したとき。</w:t>
      </w:r>
    </w:p>
    <w:p w14:paraId="34CA09ED" w14:textId="44A2ECEF" w:rsidR="00A84070" w:rsidRPr="00B90E82" w:rsidRDefault="002C1E90">
      <w:pPr>
        <w:numPr>
          <w:ilvl w:val="0"/>
          <w:numId w:val="6"/>
        </w:numPr>
        <w:ind w:hanging="432"/>
        <w:rPr>
          <w:color w:val="auto"/>
        </w:rPr>
      </w:pPr>
      <w:r w:rsidRPr="00B90E82">
        <w:rPr>
          <w:rFonts w:hint="eastAsia"/>
          <w:color w:val="auto"/>
        </w:rPr>
        <w:t xml:space="preserve"> </w:t>
      </w:r>
      <w:r w:rsidR="00B11ABB" w:rsidRPr="00B90E82">
        <w:rPr>
          <w:rFonts w:hint="eastAsia"/>
          <w:color w:val="auto"/>
        </w:rPr>
        <w:t>センター</w:t>
      </w:r>
      <w:r w:rsidR="009E09EA" w:rsidRPr="00B90E82">
        <w:rPr>
          <w:rFonts w:hint="eastAsia"/>
          <w:color w:val="auto"/>
        </w:rPr>
        <w:t>等</w:t>
      </w:r>
      <w:r w:rsidR="00970AA4" w:rsidRPr="00B90E82">
        <w:rPr>
          <w:color w:val="auto"/>
        </w:rPr>
        <w:t>（</w:t>
      </w:r>
      <w:r w:rsidR="00B11ABB" w:rsidRPr="00B90E82">
        <w:rPr>
          <w:rFonts w:hint="eastAsia"/>
          <w:color w:val="auto"/>
        </w:rPr>
        <w:t>センター</w:t>
      </w:r>
      <w:r w:rsidR="009E09EA" w:rsidRPr="00B90E82">
        <w:rPr>
          <w:rFonts w:hint="eastAsia"/>
          <w:color w:val="auto"/>
        </w:rPr>
        <w:t>等</w:t>
      </w:r>
      <w:r w:rsidR="00970AA4" w:rsidRPr="00B90E82">
        <w:rPr>
          <w:color w:val="auto"/>
        </w:rPr>
        <w:t>が法人の場合にあっては、その役員又は使用人）が、刑法（明治40年法律第45号）第96条の６の規定による刑が確定したとき。</w:t>
      </w:r>
    </w:p>
    <w:p w14:paraId="392B08D8" w14:textId="77777777" w:rsidR="002C1E90" w:rsidRPr="00B90E82" w:rsidRDefault="002C1E90">
      <w:pPr>
        <w:numPr>
          <w:ilvl w:val="0"/>
          <w:numId w:val="6"/>
        </w:numPr>
        <w:ind w:hanging="432"/>
        <w:rPr>
          <w:color w:val="auto"/>
        </w:rPr>
      </w:pPr>
      <w:r w:rsidRPr="00B90E82">
        <w:rPr>
          <w:rFonts w:hint="eastAsia"/>
          <w:color w:val="auto"/>
        </w:rPr>
        <w:t xml:space="preserve"> </w:t>
      </w:r>
      <w:r w:rsidR="00B11ABB" w:rsidRPr="00B90E82">
        <w:rPr>
          <w:rFonts w:hint="eastAsia"/>
          <w:color w:val="auto"/>
        </w:rPr>
        <w:t>センター</w:t>
      </w:r>
      <w:r w:rsidR="009E09EA" w:rsidRPr="00B90E82">
        <w:rPr>
          <w:rFonts w:hint="eastAsia"/>
          <w:color w:val="auto"/>
        </w:rPr>
        <w:t>等</w:t>
      </w:r>
      <w:r w:rsidR="00970AA4" w:rsidRPr="00B90E82">
        <w:rPr>
          <w:color w:val="auto"/>
        </w:rPr>
        <w:t>が、他の入札者と共同して落札すべき者又は入札金額を決定したこと</w:t>
      </w:r>
      <w:r w:rsidRPr="00B90E82">
        <w:rPr>
          <w:rFonts w:hint="eastAsia"/>
          <w:color w:val="auto"/>
        </w:rPr>
        <w:t>を</w:t>
      </w:r>
    </w:p>
    <w:p w14:paraId="45EBA170" w14:textId="51A16EF8" w:rsidR="00A84070" w:rsidRPr="00B90E82" w:rsidRDefault="00970AA4" w:rsidP="002C1E90">
      <w:pPr>
        <w:ind w:left="242" w:firstLineChars="150" w:firstLine="360"/>
        <w:rPr>
          <w:color w:val="auto"/>
        </w:rPr>
      </w:pPr>
      <w:r w:rsidRPr="00B90E82">
        <w:rPr>
          <w:color w:val="auto"/>
        </w:rPr>
        <w:t>認めたとき。</w:t>
      </w:r>
    </w:p>
    <w:p w14:paraId="3C1478D9" w14:textId="77777777" w:rsidR="00B90E82" w:rsidRDefault="00970AA4">
      <w:pPr>
        <w:ind w:left="297" w:hanging="312"/>
        <w:rPr>
          <w:color w:val="auto"/>
        </w:rPr>
      </w:pPr>
      <w:r w:rsidRPr="00B90E82">
        <w:rPr>
          <w:color w:val="auto"/>
        </w:rPr>
        <w:lastRenderedPageBreak/>
        <w:t>２</w:t>
      </w:r>
      <w:r w:rsidRPr="00B90E82">
        <w:rPr>
          <w:color w:val="auto"/>
        </w:rPr>
        <w:tab/>
      </w:r>
      <w:r w:rsidR="002C1E90" w:rsidRPr="00B90E82">
        <w:rPr>
          <w:rFonts w:hint="eastAsia"/>
          <w:color w:val="auto"/>
        </w:rPr>
        <w:t xml:space="preserve"> </w:t>
      </w:r>
      <w:r w:rsidR="00B11ABB" w:rsidRPr="00B90E82">
        <w:rPr>
          <w:rFonts w:hint="eastAsia"/>
          <w:color w:val="auto"/>
        </w:rPr>
        <w:t>発注者</w:t>
      </w:r>
      <w:r w:rsidRPr="00B90E82">
        <w:rPr>
          <w:color w:val="auto"/>
        </w:rPr>
        <w:t>は、前条又は前項に定める場合のほか、</w:t>
      </w:r>
      <w:r w:rsidR="00B11ABB" w:rsidRPr="00B90E82">
        <w:rPr>
          <w:rFonts w:hint="eastAsia"/>
          <w:color w:val="auto"/>
        </w:rPr>
        <w:t>センター</w:t>
      </w:r>
      <w:r w:rsidR="00D016D7" w:rsidRPr="00B90E82">
        <w:rPr>
          <w:rFonts w:hint="eastAsia"/>
          <w:color w:val="auto"/>
        </w:rPr>
        <w:t>等（センター及び本業務に従</w:t>
      </w:r>
    </w:p>
    <w:p w14:paraId="7B9D2571" w14:textId="786CEE47" w:rsidR="00A84070" w:rsidRPr="00B90E82" w:rsidRDefault="00D016D7" w:rsidP="00B90E82">
      <w:pPr>
        <w:ind w:leftChars="50" w:left="120" w:firstLine="0"/>
        <w:rPr>
          <w:color w:val="auto"/>
        </w:rPr>
      </w:pPr>
      <w:r w:rsidRPr="00B90E82">
        <w:rPr>
          <w:rFonts w:hint="eastAsia"/>
          <w:color w:val="auto"/>
        </w:rPr>
        <w:t>事する会員をいう。以下この項において同じ。）</w:t>
      </w:r>
      <w:r w:rsidR="00970AA4" w:rsidRPr="00B90E82">
        <w:rPr>
          <w:color w:val="auto"/>
        </w:rPr>
        <w:t>が次の各号のいずれかに該</w:t>
      </w:r>
      <w:r w:rsidR="002C1E90" w:rsidRPr="00B90E82">
        <w:rPr>
          <w:rFonts w:hint="eastAsia"/>
          <w:color w:val="auto"/>
        </w:rPr>
        <w:t>当</w:t>
      </w:r>
      <w:r w:rsidR="00970AA4" w:rsidRPr="00B90E82">
        <w:rPr>
          <w:color w:val="auto"/>
        </w:rPr>
        <w:t>するときは、この契約を解除し、又は打ち切ることができる。</w:t>
      </w:r>
    </w:p>
    <w:p w14:paraId="56B2657F" w14:textId="7C23226A" w:rsidR="00A84070" w:rsidRPr="00B90E82" w:rsidRDefault="002C1E90">
      <w:pPr>
        <w:numPr>
          <w:ilvl w:val="0"/>
          <w:numId w:val="7"/>
        </w:numPr>
        <w:ind w:hanging="377"/>
        <w:rPr>
          <w:color w:val="auto"/>
        </w:rPr>
      </w:pPr>
      <w:r w:rsidRPr="00B90E82">
        <w:rPr>
          <w:rFonts w:hint="eastAsia"/>
          <w:color w:val="auto"/>
        </w:rPr>
        <w:t xml:space="preserve"> </w:t>
      </w:r>
      <w:r w:rsidR="00D635BE" w:rsidRPr="00B90E82">
        <w:rPr>
          <w:rFonts w:hint="eastAsia"/>
          <w:color w:val="auto"/>
        </w:rPr>
        <w:t xml:space="preserve"> </w:t>
      </w:r>
      <w:r w:rsidR="00970AA4" w:rsidRPr="00B90E82">
        <w:rPr>
          <w:color w:val="auto"/>
        </w:rPr>
        <w:t>その役員等</w:t>
      </w:r>
      <w:r w:rsidR="00D016D7" w:rsidRPr="00B90E82">
        <w:rPr>
          <w:rFonts w:hint="eastAsia"/>
          <w:color w:val="auto"/>
        </w:rPr>
        <w:t>（センター等</w:t>
      </w:r>
      <w:r w:rsidR="00970AA4" w:rsidRPr="00B90E82">
        <w:rPr>
          <w:color w:val="auto"/>
        </w:rPr>
        <w:t>が個人である場合にはその者を、</w:t>
      </w:r>
      <w:r w:rsidR="00A25162" w:rsidRPr="00B90E82">
        <w:rPr>
          <w:rFonts w:hint="eastAsia"/>
          <w:color w:val="auto"/>
        </w:rPr>
        <w:t>センター</w:t>
      </w:r>
      <w:r w:rsidR="00D016D7" w:rsidRPr="00B90E82">
        <w:rPr>
          <w:rFonts w:hint="eastAsia"/>
          <w:color w:val="auto"/>
        </w:rPr>
        <w:t>等</w:t>
      </w:r>
      <w:r w:rsidR="00970AA4" w:rsidRPr="00B90E82">
        <w:rPr>
          <w:color w:val="auto"/>
        </w:rPr>
        <w:t>が法人である場合にはその役員又はその支店若しくは営業所の代表者をいう。以下この項において同じ。）が暴力団員による不当な行為の防止等に関する法律（平成３年法律第77号）第２条第６号に規定する暴力団員（以下この項において「暴力団員」という。）であると認められるとき。</w:t>
      </w:r>
    </w:p>
    <w:p w14:paraId="14ECA64F" w14:textId="2BA304FF" w:rsidR="00A84070" w:rsidRPr="00B90E82" w:rsidRDefault="00545250">
      <w:pPr>
        <w:numPr>
          <w:ilvl w:val="0"/>
          <w:numId w:val="7"/>
        </w:numPr>
        <w:ind w:hanging="377"/>
        <w:rPr>
          <w:color w:val="auto"/>
        </w:rPr>
      </w:pPr>
      <w:r w:rsidRPr="00B90E82">
        <w:rPr>
          <w:rFonts w:hint="eastAsia"/>
          <w:color w:val="auto"/>
        </w:rPr>
        <w:t xml:space="preserve"> </w:t>
      </w:r>
      <w:r w:rsidR="00D635BE" w:rsidRPr="00B90E82">
        <w:rPr>
          <w:rFonts w:hint="eastAsia"/>
          <w:color w:val="auto"/>
        </w:rPr>
        <w:t xml:space="preserve"> </w:t>
      </w:r>
      <w:r w:rsidR="00970AA4" w:rsidRPr="00B90E82">
        <w:rPr>
          <w:color w:val="auto"/>
        </w:rPr>
        <w:t>暴力団（暴力団員による不当な行為の防止等に関する法律第２条第２号に規定する暴力団をいう。以下この項において同じ。）又は暴力団員が経営に実質的に関与していると認められるとき。</w:t>
      </w:r>
    </w:p>
    <w:p w14:paraId="55B4F120" w14:textId="28037ABD" w:rsidR="00A84070" w:rsidRPr="00B90E82" w:rsidRDefault="00545250">
      <w:pPr>
        <w:numPr>
          <w:ilvl w:val="0"/>
          <w:numId w:val="7"/>
        </w:numPr>
        <w:ind w:hanging="377"/>
        <w:rPr>
          <w:color w:val="auto"/>
        </w:rPr>
      </w:pPr>
      <w:r w:rsidRPr="00B90E82">
        <w:rPr>
          <w:rFonts w:hint="eastAsia"/>
          <w:color w:val="auto"/>
        </w:rPr>
        <w:t xml:space="preserve"> </w:t>
      </w:r>
      <w:r w:rsidR="00D635BE" w:rsidRPr="00B90E82">
        <w:rPr>
          <w:rFonts w:hint="eastAsia"/>
          <w:color w:val="auto"/>
        </w:rPr>
        <w:t xml:space="preserve"> </w:t>
      </w:r>
      <w:r w:rsidR="00970AA4" w:rsidRPr="00B90E82">
        <w:rPr>
          <w:color w:val="auto"/>
        </w:rPr>
        <w:t>その役員等が自己、自社若しくは第三者の不正の利益を図る目的又は第三者に損害を加える目的をもって、暴力団又は暴力団員を利用したと認められるとき。</w:t>
      </w:r>
    </w:p>
    <w:p w14:paraId="19933CF5" w14:textId="28885ECE" w:rsidR="00A84070" w:rsidRPr="00B90E82" w:rsidRDefault="00545250">
      <w:pPr>
        <w:numPr>
          <w:ilvl w:val="0"/>
          <w:numId w:val="7"/>
        </w:numPr>
        <w:ind w:hanging="377"/>
        <w:rPr>
          <w:color w:val="auto"/>
        </w:rPr>
      </w:pPr>
      <w:r w:rsidRPr="00B90E82">
        <w:rPr>
          <w:rFonts w:hint="eastAsia"/>
          <w:color w:val="auto"/>
        </w:rPr>
        <w:t xml:space="preserve"> </w:t>
      </w:r>
      <w:r w:rsidR="00D635BE" w:rsidRPr="00B90E82">
        <w:rPr>
          <w:rFonts w:hint="eastAsia"/>
          <w:color w:val="auto"/>
        </w:rPr>
        <w:t xml:space="preserve"> </w:t>
      </w:r>
      <w:r w:rsidR="00970AA4" w:rsidRPr="00B90E82">
        <w:rPr>
          <w:color w:val="auto"/>
        </w:rPr>
        <w:t>その役員等が、暴力団又は暴力団員に対して資金等を供給し、又は便宜を供与する等直接的又は積極的に暴力団の維持又は運営に協力し、又は関与していると認められるとき。</w:t>
      </w:r>
    </w:p>
    <w:p w14:paraId="40963ECC" w14:textId="3EE5381D" w:rsidR="00A84070" w:rsidRPr="00B90E82" w:rsidRDefault="00D635BE">
      <w:pPr>
        <w:numPr>
          <w:ilvl w:val="0"/>
          <w:numId w:val="7"/>
        </w:numPr>
        <w:ind w:hanging="377"/>
        <w:rPr>
          <w:color w:val="auto"/>
        </w:rPr>
      </w:pPr>
      <w:r w:rsidRPr="00B90E82">
        <w:rPr>
          <w:rFonts w:hint="eastAsia"/>
          <w:color w:val="auto"/>
        </w:rPr>
        <w:t xml:space="preserve">　</w:t>
      </w:r>
      <w:r w:rsidR="00970AA4" w:rsidRPr="00B90E82">
        <w:rPr>
          <w:color w:val="auto"/>
        </w:rPr>
        <w:t>その役員等が暴力団又は暴力団員と社会的に非難されるべき関係を有すると認められるとき。</w:t>
      </w:r>
    </w:p>
    <w:p w14:paraId="74507923" w14:textId="7AA68414" w:rsidR="00557EA8" w:rsidRPr="00B90E82" w:rsidRDefault="00545250" w:rsidP="00557EA8">
      <w:pPr>
        <w:numPr>
          <w:ilvl w:val="0"/>
          <w:numId w:val="7"/>
        </w:numPr>
        <w:ind w:hanging="377"/>
        <w:rPr>
          <w:color w:val="auto"/>
        </w:rPr>
      </w:pPr>
      <w:r w:rsidRPr="00B90E82">
        <w:rPr>
          <w:rFonts w:hint="eastAsia"/>
          <w:color w:val="auto"/>
        </w:rPr>
        <w:t xml:space="preserve"> </w:t>
      </w:r>
      <w:r w:rsidR="00D635BE" w:rsidRPr="00B90E82">
        <w:rPr>
          <w:rFonts w:hint="eastAsia"/>
          <w:color w:val="auto"/>
        </w:rPr>
        <w:t xml:space="preserve"> </w:t>
      </w:r>
      <w:r w:rsidR="00970AA4" w:rsidRPr="00B90E82">
        <w:rPr>
          <w:color w:val="auto"/>
        </w:rPr>
        <w:t>下請契約又は資材若しくは原材料の購入契約その他の契約に当たり、その相手方が前号のいずれかに該当することを知りながら、当該者と契約を締結したと認められるとき。</w:t>
      </w:r>
    </w:p>
    <w:p w14:paraId="2D368FEE" w14:textId="3A6620F5" w:rsidR="00530957" w:rsidRPr="00B90E82" w:rsidRDefault="00557EA8" w:rsidP="00557EA8">
      <w:pPr>
        <w:numPr>
          <w:ilvl w:val="0"/>
          <w:numId w:val="7"/>
        </w:numPr>
        <w:ind w:hanging="377"/>
        <w:rPr>
          <w:color w:val="auto"/>
        </w:rPr>
      </w:pPr>
      <w:r w:rsidRPr="00B90E82">
        <w:rPr>
          <w:rFonts w:hint="eastAsia"/>
          <w:color w:val="auto"/>
        </w:rPr>
        <w:t xml:space="preserve"> </w:t>
      </w:r>
      <w:r w:rsidR="00D635BE" w:rsidRPr="00B90E82">
        <w:rPr>
          <w:rFonts w:hint="eastAsia"/>
          <w:color w:val="auto"/>
        </w:rPr>
        <w:t xml:space="preserve"> </w:t>
      </w:r>
      <w:r w:rsidR="00771683" w:rsidRPr="00B90E82">
        <w:rPr>
          <w:rFonts w:hint="eastAsia"/>
          <w:color w:val="auto"/>
        </w:rPr>
        <w:t>センター</w:t>
      </w:r>
      <w:r w:rsidR="00D016D7" w:rsidRPr="00B90E82">
        <w:rPr>
          <w:rFonts w:hint="eastAsia"/>
          <w:color w:val="auto"/>
        </w:rPr>
        <w:t>等</w:t>
      </w:r>
      <w:r w:rsidR="00771683" w:rsidRPr="00B90E82">
        <w:rPr>
          <w:rFonts w:hint="eastAsia"/>
          <w:color w:val="auto"/>
        </w:rPr>
        <w:t>が、第１号から第５号までのいずれかに該当する者を下請契約又は資材若しくは原材料の購入契約その他の契約の相手方としていた場合（前号に該当する</w:t>
      </w:r>
      <w:r w:rsidR="00970AA4" w:rsidRPr="00B90E82">
        <w:rPr>
          <w:color w:val="auto"/>
        </w:rPr>
        <w:t>場合を除く。）に、</w:t>
      </w:r>
      <w:r w:rsidR="00B11ABB" w:rsidRPr="00B90E82">
        <w:rPr>
          <w:rFonts w:hint="eastAsia"/>
          <w:color w:val="auto"/>
        </w:rPr>
        <w:t>発注者</w:t>
      </w:r>
      <w:r w:rsidR="00970AA4" w:rsidRPr="00B90E82">
        <w:rPr>
          <w:color w:val="auto"/>
        </w:rPr>
        <w:t>が</w:t>
      </w:r>
      <w:r w:rsidR="00B11ABB" w:rsidRPr="00B90E82">
        <w:rPr>
          <w:rFonts w:hint="eastAsia"/>
          <w:color w:val="auto"/>
        </w:rPr>
        <w:t>センター</w:t>
      </w:r>
      <w:r w:rsidR="005B5598" w:rsidRPr="00B90E82">
        <w:rPr>
          <w:rFonts w:hint="eastAsia"/>
          <w:color w:val="auto"/>
        </w:rPr>
        <w:t>等</w:t>
      </w:r>
      <w:r w:rsidR="00970AA4" w:rsidRPr="00B90E82">
        <w:rPr>
          <w:color w:val="auto"/>
        </w:rPr>
        <w:t>に対して当該契約の解除を求め、</w:t>
      </w:r>
      <w:r w:rsidR="00B11ABB" w:rsidRPr="00B90E82">
        <w:rPr>
          <w:rFonts w:hint="eastAsia"/>
          <w:color w:val="auto"/>
        </w:rPr>
        <w:t>センター</w:t>
      </w:r>
      <w:r w:rsidR="005B5598" w:rsidRPr="00B90E82">
        <w:rPr>
          <w:rFonts w:hint="eastAsia"/>
          <w:color w:val="auto"/>
        </w:rPr>
        <w:t>等</w:t>
      </w:r>
      <w:r w:rsidR="00970AA4" w:rsidRPr="00B90E82">
        <w:rPr>
          <w:color w:val="auto"/>
        </w:rPr>
        <w:t>がこれに従</w:t>
      </w:r>
      <w:r w:rsidR="00B11ABB" w:rsidRPr="00B90E82">
        <w:rPr>
          <w:rFonts w:hint="eastAsia"/>
          <w:color w:val="auto"/>
        </w:rPr>
        <w:t>わ</w:t>
      </w:r>
      <w:r w:rsidR="00970AA4" w:rsidRPr="00B90E82">
        <w:rPr>
          <w:color w:val="auto"/>
        </w:rPr>
        <w:t>なかったとき。</w:t>
      </w:r>
    </w:p>
    <w:p w14:paraId="23A90576" w14:textId="77777777" w:rsidR="00530957" w:rsidRPr="00B90E82" w:rsidRDefault="00530957" w:rsidP="00105657">
      <w:pPr>
        <w:spacing w:after="0" w:line="259" w:lineRule="auto"/>
        <w:ind w:left="240" w:right="62" w:hangingChars="100" w:hanging="240"/>
        <w:rPr>
          <w:color w:val="auto"/>
        </w:rPr>
      </w:pPr>
    </w:p>
    <w:p w14:paraId="3F7FA813" w14:textId="3177C2DD" w:rsidR="00A84070" w:rsidRPr="00B90E82" w:rsidRDefault="00970AA4">
      <w:pPr>
        <w:ind w:left="-5"/>
        <w:rPr>
          <w:color w:val="auto"/>
        </w:rPr>
      </w:pPr>
      <w:r w:rsidRPr="00B90E82">
        <w:rPr>
          <w:color w:val="auto"/>
        </w:rPr>
        <w:t>(</w:t>
      </w:r>
      <w:r w:rsidR="003B6537" w:rsidRPr="00B90E82">
        <w:rPr>
          <w:rFonts w:hint="eastAsia"/>
          <w:color w:val="auto"/>
        </w:rPr>
        <w:t>センター</w:t>
      </w:r>
      <w:r w:rsidRPr="00B90E82">
        <w:rPr>
          <w:color w:val="auto"/>
        </w:rPr>
        <w:t>の契約解除権)</w:t>
      </w:r>
    </w:p>
    <w:p w14:paraId="1F5FBB7E" w14:textId="42E7BE13" w:rsidR="00A84070" w:rsidRPr="00B90E82" w:rsidRDefault="00970AA4">
      <w:pPr>
        <w:spacing w:after="289"/>
        <w:ind w:left="227" w:hanging="242"/>
        <w:rPr>
          <w:color w:val="auto"/>
        </w:rPr>
      </w:pPr>
      <w:r w:rsidRPr="00B90E82">
        <w:rPr>
          <w:color w:val="auto"/>
        </w:rPr>
        <w:t>第</w:t>
      </w:r>
      <w:r w:rsidR="00EC7A2E" w:rsidRPr="00B90E82">
        <w:rPr>
          <w:rFonts w:hint="eastAsia"/>
          <w:color w:val="auto"/>
        </w:rPr>
        <w:t>７</w:t>
      </w:r>
      <w:r w:rsidRPr="00B90E82">
        <w:rPr>
          <w:color w:val="auto"/>
        </w:rPr>
        <w:t>条</w:t>
      </w:r>
      <w:r w:rsidR="00B96306" w:rsidRPr="00B90E82">
        <w:rPr>
          <w:rFonts w:hint="eastAsia"/>
          <w:color w:val="auto"/>
        </w:rPr>
        <w:t xml:space="preserve">　</w:t>
      </w:r>
      <w:r w:rsidR="003B6537" w:rsidRPr="00B90E82">
        <w:rPr>
          <w:rFonts w:hint="eastAsia"/>
          <w:color w:val="auto"/>
        </w:rPr>
        <w:t>センター</w:t>
      </w:r>
      <w:r w:rsidRPr="00B90E82">
        <w:rPr>
          <w:color w:val="auto"/>
        </w:rPr>
        <w:t>は、</w:t>
      </w:r>
      <w:r w:rsidR="00D23D32" w:rsidRPr="00B90E82">
        <w:rPr>
          <w:rFonts w:hint="eastAsia"/>
          <w:color w:val="auto"/>
        </w:rPr>
        <w:t>発注者</w:t>
      </w:r>
      <w:r w:rsidRPr="00B90E82">
        <w:rPr>
          <w:color w:val="auto"/>
        </w:rPr>
        <w:t>の責めに帰すべき理由によって、この契約を継続することができなくなった場合、又は正当な理由がある場合は、この契約を解除することができる。</w:t>
      </w:r>
    </w:p>
    <w:p w14:paraId="36A89B67" w14:textId="77777777" w:rsidR="00A84070" w:rsidRPr="00B90E82" w:rsidRDefault="00970AA4">
      <w:pPr>
        <w:ind w:left="-5"/>
        <w:rPr>
          <w:color w:val="auto"/>
        </w:rPr>
      </w:pPr>
      <w:r w:rsidRPr="00B90E82">
        <w:rPr>
          <w:color w:val="auto"/>
        </w:rPr>
        <w:t>(守秘義務)</w:t>
      </w:r>
    </w:p>
    <w:p w14:paraId="7D5E94F5" w14:textId="277928C2" w:rsidR="00A84070" w:rsidRPr="00B90E82" w:rsidRDefault="00970AA4" w:rsidP="003B6537">
      <w:pPr>
        <w:spacing w:after="0"/>
        <w:ind w:left="227" w:hanging="244"/>
        <w:rPr>
          <w:color w:val="auto"/>
        </w:rPr>
      </w:pPr>
      <w:r w:rsidRPr="00B90E82">
        <w:rPr>
          <w:color w:val="auto"/>
        </w:rPr>
        <w:t>第</w:t>
      </w:r>
      <w:r w:rsidR="00EC7A2E" w:rsidRPr="00B90E82">
        <w:rPr>
          <w:rFonts w:hint="eastAsia"/>
          <w:color w:val="auto"/>
        </w:rPr>
        <w:t>８</w:t>
      </w:r>
      <w:r w:rsidRPr="00B90E82">
        <w:rPr>
          <w:color w:val="auto"/>
        </w:rPr>
        <w:t>条</w:t>
      </w:r>
      <w:r w:rsidR="00B96306" w:rsidRPr="00B90E82">
        <w:rPr>
          <w:rFonts w:hint="eastAsia"/>
          <w:color w:val="auto"/>
        </w:rPr>
        <w:t xml:space="preserve">　</w:t>
      </w:r>
      <w:r w:rsidR="003B6537" w:rsidRPr="00B90E82">
        <w:rPr>
          <w:rFonts w:hint="eastAsia"/>
          <w:color w:val="auto"/>
        </w:rPr>
        <w:t>センター</w:t>
      </w:r>
      <w:r w:rsidRPr="00B90E82">
        <w:rPr>
          <w:color w:val="auto"/>
        </w:rPr>
        <w:t>は、</w:t>
      </w:r>
      <w:r w:rsidR="00784F71">
        <w:rPr>
          <w:rFonts w:hint="eastAsia"/>
          <w:color w:val="auto"/>
        </w:rPr>
        <w:t>農場</w:t>
      </w:r>
      <w:r w:rsidRPr="00B90E82">
        <w:rPr>
          <w:color w:val="auto"/>
        </w:rPr>
        <w:t>管理業務の実施に当たり、知り得た</w:t>
      </w:r>
      <w:r w:rsidR="00D23D32" w:rsidRPr="00B90E82">
        <w:rPr>
          <w:rFonts w:hint="eastAsia"/>
          <w:color w:val="auto"/>
        </w:rPr>
        <w:t>発注者</w:t>
      </w:r>
      <w:r w:rsidRPr="00B90E82">
        <w:rPr>
          <w:color w:val="auto"/>
        </w:rPr>
        <w:t>の秘密及び第三者の秘密を他に漏らしてはならない。</w:t>
      </w:r>
    </w:p>
    <w:p w14:paraId="7512F63F" w14:textId="2DB34A68" w:rsidR="003B6537" w:rsidRPr="00B90E82" w:rsidRDefault="003B6537" w:rsidP="003B6537">
      <w:pPr>
        <w:spacing w:after="0"/>
        <w:ind w:left="227" w:hanging="244"/>
        <w:rPr>
          <w:color w:val="auto"/>
        </w:rPr>
      </w:pPr>
      <w:r w:rsidRPr="00B90E82">
        <w:rPr>
          <w:rFonts w:hint="eastAsia"/>
          <w:color w:val="auto"/>
        </w:rPr>
        <w:t>２　センターは会員に対し、会員業務就業規約</w:t>
      </w:r>
      <w:r w:rsidR="00C360B7" w:rsidRPr="00B90E82">
        <w:rPr>
          <w:rFonts w:hint="eastAsia"/>
          <w:color w:val="auto"/>
        </w:rPr>
        <w:t>に基づく守秘義務を遵守させるものとする。</w:t>
      </w:r>
    </w:p>
    <w:p w14:paraId="5BC86158" w14:textId="77777777" w:rsidR="003B6537" w:rsidRPr="00B90E82" w:rsidRDefault="003B6537" w:rsidP="003B6537">
      <w:pPr>
        <w:spacing w:after="0"/>
        <w:ind w:left="227" w:hanging="244"/>
        <w:rPr>
          <w:color w:val="auto"/>
        </w:rPr>
      </w:pPr>
    </w:p>
    <w:p w14:paraId="470CFC8A" w14:textId="6EF3E210" w:rsidR="00C360B7" w:rsidRPr="00B90E82" w:rsidRDefault="00C360B7" w:rsidP="00C360B7">
      <w:pPr>
        <w:spacing w:after="0"/>
        <w:ind w:left="227" w:hanging="244"/>
        <w:rPr>
          <w:color w:val="auto"/>
        </w:rPr>
      </w:pPr>
      <w:r w:rsidRPr="00B90E82">
        <w:rPr>
          <w:color w:val="auto"/>
        </w:rPr>
        <w:lastRenderedPageBreak/>
        <w:t>(合意管轄)</w:t>
      </w:r>
    </w:p>
    <w:p w14:paraId="23FE02FE" w14:textId="3DAD5729" w:rsidR="00C360B7" w:rsidRPr="00B90E82" w:rsidRDefault="00C360B7" w:rsidP="00C360B7">
      <w:pPr>
        <w:spacing w:after="0"/>
        <w:ind w:left="227" w:hanging="244"/>
        <w:rPr>
          <w:color w:val="auto"/>
        </w:rPr>
      </w:pPr>
      <w:r w:rsidRPr="00B90E82">
        <w:rPr>
          <w:rFonts w:hint="eastAsia"/>
          <w:color w:val="auto"/>
        </w:rPr>
        <w:t>第</w:t>
      </w:r>
      <w:r w:rsidR="00EC7A2E" w:rsidRPr="00B90E82">
        <w:rPr>
          <w:rFonts w:hint="eastAsia"/>
          <w:color w:val="auto"/>
        </w:rPr>
        <w:t>９</w:t>
      </w:r>
      <w:r w:rsidRPr="00B90E82">
        <w:rPr>
          <w:color w:val="auto"/>
        </w:rPr>
        <w:t>条</w:t>
      </w:r>
      <w:r w:rsidRPr="00B90E82">
        <w:rPr>
          <w:rFonts w:hint="eastAsia"/>
          <w:color w:val="auto"/>
        </w:rPr>
        <w:t xml:space="preserve">　本契約により生ずる権利義務に関する訴訟については、</w:t>
      </w:r>
      <w:r w:rsidR="005A57CD">
        <w:rPr>
          <w:rFonts w:hint="eastAsia"/>
          <w:color w:val="auto"/>
        </w:rPr>
        <w:t>新潟</w:t>
      </w:r>
      <w:r w:rsidRPr="00B90E82">
        <w:rPr>
          <w:color w:val="auto"/>
        </w:rPr>
        <w:t>地方裁判所をも</w:t>
      </w:r>
      <w:r w:rsidRPr="00B90E82">
        <w:rPr>
          <w:rFonts w:hint="eastAsia"/>
          <w:color w:val="auto"/>
        </w:rPr>
        <w:t>つて第一審の専属的合意管轄裁判所とする。</w:t>
      </w:r>
    </w:p>
    <w:p w14:paraId="069ABD55" w14:textId="77777777" w:rsidR="00C360B7" w:rsidRPr="00B90E82" w:rsidRDefault="00C360B7" w:rsidP="003B6537">
      <w:pPr>
        <w:spacing w:after="0"/>
        <w:ind w:left="227" w:hanging="244"/>
        <w:rPr>
          <w:color w:val="auto"/>
        </w:rPr>
      </w:pPr>
    </w:p>
    <w:p w14:paraId="30857357" w14:textId="77777777" w:rsidR="00A84070" w:rsidRPr="00B90E82" w:rsidRDefault="00970AA4">
      <w:pPr>
        <w:ind w:left="-5"/>
        <w:rPr>
          <w:color w:val="auto"/>
        </w:rPr>
      </w:pPr>
      <w:r w:rsidRPr="00B90E82">
        <w:rPr>
          <w:color w:val="auto"/>
        </w:rPr>
        <w:t>(協議事項)</w:t>
      </w:r>
    </w:p>
    <w:p w14:paraId="0AA69FA9" w14:textId="18691B50" w:rsidR="00A84070" w:rsidRPr="00B90E82" w:rsidRDefault="00970AA4" w:rsidP="00B90E82">
      <w:pPr>
        <w:spacing w:after="0"/>
        <w:ind w:left="240" w:hangingChars="100" w:hanging="240"/>
        <w:rPr>
          <w:color w:val="auto"/>
        </w:rPr>
      </w:pPr>
      <w:r w:rsidRPr="00B90E82">
        <w:rPr>
          <w:color w:val="auto"/>
        </w:rPr>
        <w:t>第</w:t>
      </w:r>
      <w:r w:rsidR="00C77D40" w:rsidRPr="00B90E82">
        <w:rPr>
          <w:rFonts w:hint="eastAsia"/>
          <w:color w:val="auto"/>
        </w:rPr>
        <w:t>1</w:t>
      </w:r>
      <w:r w:rsidR="00EC7A2E" w:rsidRPr="00B90E82">
        <w:rPr>
          <w:rFonts w:hint="eastAsia"/>
          <w:color w:val="auto"/>
        </w:rPr>
        <w:t>0</w:t>
      </w:r>
      <w:r w:rsidRPr="00B90E82">
        <w:rPr>
          <w:color w:val="auto"/>
        </w:rPr>
        <w:t>条</w:t>
      </w:r>
      <w:r w:rsidR="00557EA8" w:rsidRPr="00B90E82">
        <w:rPr>
          <w:rFonts w:hint="eastAsia"/>
          <w:color w:val="auto"/>
        </w:rPr>
        <w:t xml:space="preserve">　</w:t>
      </w:r>
      <w:r w:rsidR="00C77D40" w:rsidRPr="00B90E82">
        <w:rPr>
          <w:rFonts w:hint="eastAsia"/>
          <w:color w:val="auto"/>
        </w:rPr>
        <w:t>本契約書及び利用規約に記載のない事項については、発注者及びセンターが協議の上、決定するものと</w:t>
      </w:r>
      <w:r w:rsidR="005C3C86" w:rsidRPr="00B90E82">
        <w:rPr>
          <w:rFonts w:hint="eastAsia"/>
          <w:color w:val="auto"/>
        </w:rPr>
        <w:t>す</w:t>
      </w:r>
      <w:r w:rsidR="00C77D40" w:rsidRPr="00B90E82">
        <w:rPr>
          <w:rFonts w:hint="eastAsia"/>
          <w:color w:val="auto"/>
        </w:rPr>
        <w:t>る。本契約書及び利用規約の条項に疑義が生じた場合についても同様とする。</w:t>
      </w:r>
    </w:p>
    <w:p w14:paraId="01BABDAF" w14:textId="77777777" w:rsidR="00C77D40" w:rsidRPr="00B90E82" w:rsidRDefault="00C77D40" w:rsidP="00C77D40">
      <w:pPr>
        <w:spacing w:after="0"/>
        <w:ind w:left="227" w:hanging="244"/>
        <w:rPr>
          <w:color w:val="auto"/>
        </w:rPr>
      </w:pPr>
    </w:p>
    <w:p w14:paraId="3547BBB6" w14:textId="77777777" w:rsidR="00A84070" w:rsidRPr="00B90E82" w:rsidRDefault="00970AA4">
      <w:pPr>
        <w:spacing w:after="297"/>
        <w:ind w:left="252"/>
        <w:rPr>
          <w:color w:val="auto"/>
        </w:rPr>
      </w:pPr>
      <w:r w:rsidRPr="00B90E82">
        <w:rPr>
          <w:color w:val="auto"/>
        </w:rPr>
        <w:t>上記のとおり契約したことを証するため、本書２通を作成し、甲乙記名押印の上、各自１通を保有するものとする。</w:t>
      </w:r>
    </w:p>
    <w:p w14:paraId="1BF8FA21" w14:textId="3B42DB8D" w:rsidR="00A84070" w:rsidRPr="00B90E82" w:rsidRDefault="00970AA4">
      <w:pPr>
        <w:tabs>
          <w:tab w:val="center" w:pos="1236"/>
          <w:tab w:val="center" w:pos="1795"/>
          <w:tab w:val="center" w:pos="2352"/>
        </w:tabs>
        <w:spacing w:after="55"/>
        <w:ind w:left="0" w:firstLine="0"/>
        <w:rPr>
          <w:color w:val="auto"/>
        </w:rPr>
      </w:pPr>
      <w:r w:rsidRPr="00B90E82">
        <w:rPr>
          <w:color w:val="auto"/>
        </w:rPr>
        <w:t>令和</w:t>
      </w:r>
      <w:r w:rsidR="00A228FB">
        <w:rPr>
          <w:rFonts w:hint="eastAsia"/>
          <w:color w:val="auto"/>
        </w:rPr>
        <w:t xml:space="preserve">　　</w:t>
      </w:r>
      <w:r w:rsidRPr="00B90E82">
        <w:rPr>
          <w:color w:val="auto"/>
        </w:rPr>
        <w:t>年</w:t>
      </w:r>
      <w:r w:rsidR="00A228FB">
        <w:rPr>
          <w:rFonts w:hint="eastAsia"/>
          <w:color w:val="auto"/>
        </w:rPr>
        <w:t xml:space="preserve">　　</w:t>
      </w:r>
      <w:r w:rsidRPr="00B90E82">
        <w:rPr>
          <w:color w:val="auto"/>
        </w:rPr>
        <w:tab/>
        <w:t>月</w:t>
      </w:r>
      <w:r w:rsidR="00A228FB">
        <w:rPr>
          <w:rFonts w:hint="eastAsia"/>
          <w:color w:val="auto"/>
        </w:rPr>
        <w:t xml:space="preserve">　　日</w:t>
      </w:r>
    </w:p>
    <w:tbl>
      <w:tblPr>
        <w:tblStyle w:val="TableGrid"/>
        <w:tblW w:w="4951" w:type="dxa"/>
        <w:tblInd w:w="3965" w:type="dxa"/>
        <w:tblLook w:val="04A0" w:firstRow="1" w:lastRow="0" w:firstColumn="1" w:lastColumn="0" w:noHBand="0" w:noVBand="1"/>
      </w:tblPr>
      <w:tblGrid>
        <w:gridCol w:w="4951"/>
      </w:tblGrid>
      <w:tr w:rsidR="00451901" w:rsidRPr="00B90E82" w14:paraId="6A6411D4" w14:textId="77777777" w:rsidTr="00C63AE3">
        <w:trPr>
          <w:trHeight w:val="1375"/>
        </w:trPr>
        <w:tc>
          <w:tcPr>
            <w:tcW w:w="4951" w:type="dxa"/>
            <w:tcBorders>
              <w:top w:val="nil"/>
              <w:left w:val="nil"/>
              <w:right w:val="nil"/>
            </w:tcBorders>
          </w:tcPr>
          <w:p w14:paraId="5F17090D" w14:textId="77777777" w:rsidR="00451901" w:rsidRDefault="00451901" w:rsidP="00451901">
            <w:pPr>
              <w:tabs>
                <w:tab w:val="center" w:pos="722"/>
              </w:tabs>
              <w:spacing w:after="47" w:line="259" w:lineRule="auto"/>
              <w:ind w:left="0" w:firstLine="0"/>
              <w:rPr>
                <w:color w:val="auto"/>
              </w:rPr>
            </w:pPr>
            <w:r w:rsidRPr="00B90E82">
              <w:rPr>
                <w:color w:val="auto"/>
              </w:rPr>
              <w:t>甲</w:t>
            </w:r>
            <w:r>
              <w:rPr>
                <w:rFonts w:hint="eastAsia"/>
                <w:color w:val="auto"/>
              </w:rPr>
              <w:t xml:space="preserve">　長岡市曲新町３丁目13番１号</w:t>
            </w:r>
          </w:p>
          <w:p w14:paraId="24C7CF59" w14:textId="77777777" w:rsidR="00451901" w:rsidRDefault="00451901" w:rsidP="00451901">
            <w:pPr>
              <w:tabs>
                <w:tab w:val="center" w:pos="722"/>
              </w:tabs>
              <w:spacing w:after="47" w:line="259" w:lineRule="auto"/>
              <w:ind w:left="0" w:firstLine="0"/>
              <w:rPr>
                <w:color w:val="auto"/>
              </w:rPr>
            </w:pPr>
            <w:r>
              <w:rPr>
                <w:rFonts w:hint="eastAsia"/>
                <w:color w:val="auto"/>
              </w:rPr>
              <w:t xml:space="preserve">　　新潟県</w:t>
            </w:r>
          </w:p>
          <w:p w14:paraId="0F9936D8" w14:textId="77777777" w:rsidR="00451901" w:rsidRDefault="00451901" w:rsidP="00451901">
            <w:pPr>
              <w:tabs>
                <w:tab w:val="center" w:pos="722"/>
              </w:tabs>
              <w:spacing w:after="47" w:line="259" w:lineRule="auto"/>
              <w:ind w:left="0" w:firstLine="0"/>
              <w:rPr>
                <w:color w:val="auto"/>
              </w:rPr>
            </w:pPr>
            <w:r>
              <w:rPr>
                <w:rFonts w:hint="eastAsia"/>
                <w:color w:val="auto"/>
              </w:rPr>
              <w:t xml:space="preserve">　　新潟県立長岡農業高等学校</w:t>
            </w:r>
          </w:p>
          <w:p w14:paraId="4A243723" w14:textId="20082560" w:rsidR="00451901" w:rsidRPr="00B90E82" w:rsidRDefault="00451901" w:rsidP="00451901">
            <w:pPr>
              <w:tabs>
                <w:tab w:val="center" w:pos="722"/>
              </w:tabs>
              <w:spacing w:after="47" w:line="259" w:lineRule="auto"/>
              <w:ind w:left="0" w:firstLine="0"/>
              <w:rPr>
                <w:color w:val="auto"/>
              </w:rPr>
            </w:pPr>
            <w:r>
              <w:rPr>
                <w:rFonts w:hint="eastAsia"/>
                <w:color w:val="auto"/>
              </w:rPr>
              <w:t xml:space="preserve">　　　校　長　　　　　　　　　　　　　</w:t>
            </w:r>
            <w:r w:rsidRPr="00B90E82">
              <w:rPr>
                <w:rFonts w:hint="eastAsia"/>
                <w:color w:val="auto"/>
              </w:rPr>
              <w:t>㊞</w:t>
            </w:r>
          </w:p>
        </w:tc>
      </w:tr>
      <w:tr w:rsidR="00451901" w:rsidRPr="00B90E82" w14:paraId="329B8B28" w14:textId="77777777" w:rsidTr="00C622DD">
        <w:trPr>
          <w:trHeight w:val="1147"/>
        </w:trPr>
        <w:tc>
          <w:tcPr>
            <w:tcW w:w="4951" w:type="dxa"/>
            <w:tcBorders>
              <w:top w:val="nil"/>
              <w:left w:val="nil"/>
              <w:right w:val="nil"/>
            </w:tcBorders>
          </w:tcPr>
          <w:p w14:paraId="1C6B3D64" w14:textId="77777777" w:rsidR="00451901" w:rsidRDefault="00451901" w:rsidP="00451901">
            <w:pPr>
              <w:spacing w:after="0" w:line="259" w:lineRule="auto"/>
              <w:ind w:left="0" w:firstLine="0"/>
              <w:rPr>
                <w:color w:val="auto"/>
              </w:rPr>
            </w:pPr>
          </w:p>
          <w:p w14:paraId="029F2413" w14:textId="20349600" w:rsidR="00451901" w:rsidRDefault="00451901" w:rsidP="00451901">
            <w:pPr>
              <w:spacing w:after="0" w:line="259" w:lineRule="auto"/>
              <w:ind w:left="0" w:firstLine="0"/>
              <w:rPr>
                <w:color w:val="auto"/>
              </w:rPr>
            </w:pPr>
            <w:r w:rsidRPr="00B90E82">
              <w:rPr>
                <w:rFonts w:hint="eastAsia"/>
                <w:color w:val="auto"/>
              </w:rPr>
              <w:t>乙</w:t>
            </w:r>
            <w:r>
              <w:rPr>
                <w:rFonts w:hint="eastAsia"/>
                <w:color w:val="auto"/>
              </w:rPr>
              <w:t xml:space="preserve">　</w:t>
            </w:r>
          </w:p>
          <w:p w14:paraId="6AA4E43D" w14:textId="4C5D7B15" w:rsidR="00451901" w:rsidRDefault="00451901" w:rsidP="00451901">
            <w:pPr>
              <w:spacing w:after="0" w:line="259" w:lineRule="auto"/>
              <w:ind w:left="0" w:firstLine="0"/>
              <w:rPr>
                <w:color w:val="auto"/>
              </w:rPr>
            </w:pPr>
            <w:r>
              <w:rPr>
                <w:rFonts w:hint="eastAsia"/>
                <w:color w:val="auto"/>
              </w:rPr>
              <w:t xml:space="preserve">　　</w:t>
            </w:r>
          </w:p>
          <w:p w14:paraId="55D63203" w14:textId="77777777" w:rsidR="00451901" w:rsidRDefault="00451901" w:rsidP="00451901">
            <w:pPr>
              <w:spacing w:after="0" w:line="259" w:lineRule="auto"/>
              <w:ind w:left="0" w:firstLine="0"/>
              <w:rPr>
                <w:color w:val="auto"/>
              </w:rPr>
            </w:pPr>
            <w:r>
              <w:rPr>
                <w:rFonts w:hint="eastAsia"/>
                <w:color w:val="auto"/>
              </w:rPr>
              <w:t xml:space="preserve">　　　　　　　　　　　　　　　　　　　</w:t>
            </w:r>
          </w:p>
          <w:p w14:paraId="2E873890" w14:textId="6385D476" w:rsidR="00451901" w:rsidRPr="00B90E82" w:rsidRDefault="00451901" w:rsidP="00451901">
            <w:pPr>
              <w:spacing w:after="0" w:line="259" w:lineRule="auto"/>
              <w:ind w:left="0" w:firstLine="0"/>
              <w:rPr>
                <w:color w:val="auto"/>
              </w:rPr>
            </w:pPr>
            <w:r>
              <w:rPr>
                <w:rFonts w:hint="eastAsia"/>
                <w:color w:val="auto"/>
              </w:rPr>
              <w:t xml:space="preserve">　　　　　　　　　　　　　　　　　　　</w:t>
            </w:r>
            <w:r w:rsidRPr="00B90E82">
              <w:rPr>
                <w:rFonts w:hint="eastAsia"/>
                <w:color w:val="auto"/>
              </w:rPr>
              <w:t>㊞</w:t>
            </w:r>
          </w:p>
          <w:p w14:paraId="682D72D7" w14:textId="258B372F" w:rsidR="00451901" w:rsidRPr="00B90E82" w:rsidRDefault="00451901" w:rsidP="00C77D40">
            <w:pPr>
              <w:spacing w:after="0" w:line="259" w:lineRule="auto"/>
              <w:ind w:left="0"/>
              <w:jc w:val="center"/>
              <w:rPr>
                <w:color w:val="auto"/>
              </w:rPr>
            </w:pPr>
          </w:p>
        </w:tc>
      </w:tr>
    </w:tbl>
    <w:p w14:paraId="7372D213" w14:textId="77777777" w:rsidR="00970AA4" w:rsidRPr="00B90E82" w:rsidRDefault="00970AA4">
      <w:pPr>
        <w:rPr>
          <w:color w:val="auto"/>
        </w:rPr>
      </w:pPr>
    </w:p>
    <w:sectPr w:rsidR="00970AA4" w:rsidRPr="00B90E82">
      <w:pgSz w:w="11906" w:h="16838"/>
      <w:pgMar w:top="1138" w:right="1070" w:bottom="122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8E90" w14:textId="77777777" w:rsidR="00CD680C" w:rsidRDefault="00CD680C" w:rsidP="00FF52E0">
      <w:pPr>
        <w:spacing w:after="0" w:line="240" w:lineRule="auto"/>
      </w:pPr>
      <w:r>
        <w:separator/>
      </w:r>
    </w:p>
  </w:endnote>
  <w:endnote w:type="continuationSeparator" w:id="0">
    <w:p w14:paraId="50414EA3" w14:textId="77777777" w:rsidR="00CD680C" w:rsidRDefault="00CD680C" w:rsidP="00FF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95A2" w14:textId="77777777" w:rsidR="00CD680C" w:rsidRDefault="00CD680C" w:rsidP="00FF52E0">
      <w:pPr>
        <w:spacing w:after="0" w:line="240" w:lineRule="auto"/>
      </w:pPr>
      <w:r>
        <w:separator/>
      </w:r>
    </w:p>
  </w:footnote>
  <w:footnote w:type="continuationSeparator" w:id="0">
    <w:p w14:paraId="7A22736B" w14:textId="77777777" w:rsidR="00CD680C" w:rsidRDefault="00CD680C" w:rsidP="00FF5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5A84"/>
    <w:multiLevelType w:val="hybridMultilevel"/>
    <w:tmpl w:val="88468FCA"/>
    <w:lvl w:ilvl="0" w:tplc="19E6D8B8">
      <w:start w:val="1"/>
      <w:numFmt w:val="decimal"/>
      <w:suff w:val="space"/>
      <w:lvlText w:val="(%1)"/>
      <w:lvlJc w:val="left"/>
      <w:pPr>
        <w:ind w:left="30" w:firstLine="140"/>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1CE276A2">
      <w:start w:val="1"/>
      <w:numFmt w:val="lowerLetter"/>
      <w:lvlText w:val="%2"/>
      <w:lvlJc w:val="left"/>
      <w:pPr>
        <w:ind w:left="12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A6CC39A">
      <w:start w:val="1"/>
      <w:numFmt w:val="lowerRoman"/>
      <w:lvlText w:val="%3"/>
      <w:lvlJc w:val="left"/>
      <w:pPr>
        <w:ind w:left="19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94CCCE">
      <w:start w:val="1"/>
      <w:numFmt w:val="decimal"/>
      <w:lvlText w:val="%4"/>
      <w:lvlJc w:val="left"/>
      <w:pPr>
        <w:ind w:left="26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4FC18B8">
      <w:start w:val="1"/>
      <w:numFmt w:val="lowerLetter"/>
      <w:lvlText w:val="%5"/>
      <w:lvlJc w:val="left"/>
      <w:pPr>
        <w:ind w:left="33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9E8542">
      <w:start w:val="1"/>
      <w:numFmt w:val="lowerRoman"/>
      <w:lvlText w:val="%6"/>
      <w:lvlJc w:val="left"/>
      <w:pPr>
        <w:ind w:left="40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4E2E0D8">
      <w:start w:val="1"/>
      <w:numFmt w:val="decimal"/>
      <w:lvlText w:val="%7"/>
      <w:lvlJc w:val="left"/>
      <w:pPr>
        <w:ind w:left="48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39EE5D6">
      <w:start w:val="1"/>
      <w:numFmt w:val="lowerLetter"/>
      <w:lvlText w:val="%8"/>
      <w:lvlJc w:val="left"/>
      <w:pPr>
        <w:ind w:left="55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076EEC2">
      <w:start w:val="1"/>
      <w:numFmt w:val="lowerRoman"/>
      <w:lvlText w:val="%9"/>
      <w:lvlJc w:val="left"/>
      <w:pPr>
        <w:ind w:left="6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4A4892"/>
    <w:multiLevelType w:val="hybridMultilevel"/>
    <w:tmpl w:val="558AEF86"/>
    <w:lvl w:ilvl="0" w:tplc="8E087400">
      <w:start w:val="1"/>
      <w:numFmt w:val="decimal"/>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40AEF12">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7B0D224">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EAE9E4">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48D1EE">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32597E">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21838">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7298A4">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EA7FD6">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D60554"/>
    <w:multiLevelType w:val="hybridMultilevel"/>
    <w:tmpl w:val="04ACBACA"/>
    <w:lvl w:ilvl="0" w:tplc="F6B0613A">
      <w:start w:val="1"/>
      <w:numFmt w:val="decimal"/>
      <w:lvlText w:val="(%1)"/>
      <w:lvlJc w:val="left"/>
      <w:pPr>
        <w:ind w:left="611" w:firstLine="13"/>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6AD27628">
      <w:start w:val="1"/>
      <w:numFmt w:val="lowerLetter"/>
      <w:lvlText w:val="%2"/>
      <w:lvlJc w:val="left"/>
      <w:pPr>
        <w:ind w:left="1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6101150">
      <w:start w:val="1"/>
      <w:numFmt w:val="lowerRoman"/>
      <w:lvlText w:val="%3"/>
      <w:lvlJc w:val="left"/>
      <w:pPr>
        <w:ind w:left="20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4CEC24">
      <w:start w:val="1"/>
      <w:numFmt w:val="decimal"/>
      <w:lvlText w:val="%4"/>
      <w:lvlJc w:val="left"/>
      <w:pPr>
        <w:ind w:left="27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72499E">
      <w:start w:val="1"/>
      <w:numFmt w:val="lowerLetter"/>
      <w:lvlText w:val="%5"/>
      <w:lvlJc w:val="left"/>
      <w:pPr>
        <w:ind w:left="34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2402E66">
      <w:start w:val="1"/>
      <w:numFmt w:val="lowerRoman"/>
      <w:lvlText w:val="%6"/>
      <w:lvlJc w:val="left"/>
      <w:pPr>
        <w:ind w:left="41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9E4038E">
      <w:start w:val="1"/>
      <w:numFmt w:val="decimal"/>
      <w:lvlText w:val="%7"/>
      <w:lvlJc w:val="left"/>
      <w:pPr>
        <w:ind w:left="48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39A9954">
      <w:start w:val="1"/>
      <w:numFmt w:val="lowerLetter"/>
      <w:lvlText w:val="%8"/>
      <w:lvlJc w:val="left"/>
      <w:pPr>
        <w:ind w:left="56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F5450FE">
      <w:start w:val="1"/>
      <w:numFmt w:val="lowerRoman"/>
      <w:lvlText w:val="%9"/>
      <w:lvlJc w:val="left"/>
      <w:pPr>
        <w:ind w:left="63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042000"/>
    <w:multiLevelType w:val="hybridMultilevel"/>
    <w:tmpl w:val="CBAAE80E"/>
    <w:lvl w:ilvl="0" w:tplc="028CFB64">
      <w:start w:val="1"/>
      <w:numFmt w:val="decimalFullWidth"/>
      <w:lvlText w:val="第%1条"/>
      <w:lvlJc w:val="left"/>
      <w:pPr>
        <w:ind w:left="968" w:hanging="968"/>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1A395C"/>
    <w:multiLevelType w:val="hybridMultilevel"/>
    <w:tmpl w:val="973A140A"/>
    <w:lvl w:ilvl="0" w:tplc="0E788FEA">
      <w:start w:val="2"/>
      <w:numFmt w:val="decimalFullWidth"/>
      <w:lvlText w:val="%1"/>
      <w:lvlJc w:val="left"/>
      <w:pPr>
        <w:ind w:left="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F7E4C8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BB8B42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F58D7D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D369A3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E0603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32215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FD2E2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EC91A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CD1A73"/>
    <w:multiLevelType w:val="hybridMultilevel"/>
    <w:tmpl w:val="CAD4C972"/>
    <w:lvl w:ilvl="0" w:tplc="C11039CA">
      <w:start w:val="1"/>
      <w:numFmt w:val="decimal"/>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8AB510">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5F82CFE">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07643D0">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4F8F300">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B49776">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702C178">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2EE3BA8">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44EE1B6">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0519BF"/>
    <w:multiLevelType w:val="hybridMultilevel"/>
    <w:tmpl w:val="AE8E01D4"/>
    <w:lvl w:ilvl="0" w:tplc="80F6C664">
      <w:start w:val="1"/>
      <w:numFmt w:val="decimal"/>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0B87678">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4FEEA22">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C1E9ADA">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D2804B4">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A8BF98">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F94626E">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9B4D7D4">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B3E5E5E">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862A3F"/>
    <w:multiLevelType w:val="hybridMultilevel"/>
    <w:tmpl w:val="EC26106C"/>
    <w:lvl w:ilvl="0" w:tplc="DB96C242">
      <w:start w:val="1"/>
      <w:numFmt w:val="decimalFullWidth"/>
      <w:lvlText w:val="第%1条"/>
      <w:lvlJc w:val="left"/>
      <w:pPr>
        <w:ind w:left="0" w:firstLine="284"/>
      </w:pPr>
      <w:rPr>
        <w:rFonts w:hint="default"/>
        <w:strike w:val="0"/>
        <w:color w:val="000000"/>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 w15:restartNumberingAfterBreak="0">
    <w:nsid w:val="7F40154F"/>
    <w:multiLevelType w:val="hybridMultilevel"/>
    <w:tmpl w:val="41EAFC3E"/>
    <w:lvl w:ilvl="0" w:tplc="8948053E">
      <w:start w:val="1"/>
      <w:numFmt w:val="decimal"/>
      <w:lvlText w:val="(%1)"/>
      <w:lvlJc w:val="left"/>
      <w:pPr>
        <w:ind w:left="6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9EC8F3C">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616C2C6">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EF83576">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1F464A4">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B48E9E">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52D4FE">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B4FFD8">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4467E10">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961420664">
    <w:abstractNumId w:val="1"/>
  </w:num>
  <w:num w:numId="2" w16cid:durableId="1554803528">
    <w:abstractNumId w:val="5"/>
  </w:num>
  <w:num w:numId="3" w16cid:durableId="1867786583">
    <w:abstractNumId w:val="6"/>
  </w:num>
  <w:num w:numId="4" w16cid:durableId="1587227156">
    <w:abstractNumId w:val="4"/>
  </w:num>
  <w:num w:numId="5" w16cid:durableId="520432081">
    <w:abstractNumId w:val="0"/>
  </w:num>
  <w:num w:numId="6" w16cid:durableId="433064170">
    <w:abstractNumId w:val="8"/>
  </w:num>
  <w:num w:numId="7" w16cid:durableId="2091540655">
    <w:abstractNumId w:val="2"/>
  </w:num>
  <w:num w:numId="8" w16cid:durableId="1116292330">
    <w:abstractNumId w:val="7"/>
  </w:num>
  <w:num w:numId="9" w16cid:durableId="1596283800">
    <w:abstractNumId w:val="0"/>
    <w:lvlOverride w:ilvl="0">
      <w:lvl w:ilvl="0" w:tplc="19E6D8B8">
        <w:start w:val="1"/>
        <w:numFmt w:val="decimal"/>
        <w:suff w:val="space"/>
        <w:lvlText w:val="(%1)"/>
        <w:lvlJc w:val="left"/>
        <w:pPr>
          <w:ind w:left="0" w:firstLine="170"/>
        </w:pPr>
        <w:rPr>
          <w:rFonts w:ascii="ＭＳ 明朝" w:eastAsia="ＭＳ 明朝" w:hAnsi="ＭＳ 明朝" w:cs="ＭＳ 明朝" w:hint="eastAsia"/>
          <w:b w:val="0"/>
          <w:i w:val="0"/>
          <w:strike w:val="0"/>
          <w:dstrike w:val="0"/>
          <w:color w:val="000000"/>
          <w:sz w:val="24"/>
          <w:szCs w:val="24"/>
          <w:u w:val="none" w:color="000000"/>
          <w:vertAlign w:val="baseline"/>
        </w:rPr>
      </w:lvl>
    </w:lvlOverride>
    <w:lvlOverride w:ilvl="1">
      <w:lvl w:ilvl="1" w:tplc="1CE276A2" w:tentative="1">
        <w:start w:val="1"/>
        <w:numFmt w:val="aiueoFullWidth"/>
        <w:lvlText w:val="(%2)"/>
        <w:lvlJc w:val="left"/>
        <w:pPr>
          <w:ind w:left="880" w:hanging="440"/>
        </w:pPr>
      </w:lvl>
    </w:lvlOverride>
    <w:lvlOverride w:ilvl="2">
      <w:lvl w:ilvl="2" w:tplc="8A6CC39A" w:tentative="1">
        <w:start w:val="1"/>
        <w:numFmt w:val="decimalEnclosedCircle"/>
        <w:lvlText w:val="%3"/>
        <w:lvlJc w:val="left"/>
        <w:pPr>
          <w:ind w:left="1320" w:hanging="440"/>
        </w:pPr>
      </w:lvl>
    </w:lvlOverride>
    <w:lvlOverride w:ilvl="3">
      <w:lvl w:ilvl="3" w:tplc="6C94CCCE" w:tentative="1">
        <w:start w:val="1"/>
        <w:numFmt w:val="decimal"/>
        <w:lvlText w:val="%4."/>
        <w:lvlJc w:val="left"/>
        <w:pPr>
          <w:ind w:left="1760" w:hanging="440"/>
        </w:pPr>
      </w:lvl>
    </w:lvlOverride>
    <w:lvlOverride w:ilvl="4">
      <w:lvl w:ilvl="4" w:tplc="94FC18B8" w:tentative="1">
        <w:start w:val="1"/>
        <w:numFmt w:val="aiueoFullWidth"/>
        <w:lvlText w:val="(%5)"/>
        <w:lvlJc w:val="left"/>
        <w:pPr>
          <w:ind w:left="2200" w:hanging="440"/>
        </w:pPr>
      </w:lvl>
    </w:lvlOverride>
    <w:lvlOverride w:ilvl="5">
      <w:lvl w:ilvl="5" w:tplc="C19E8542" w:tentative="1">
        <w:start w:val="1"/>
        <w:numFmt w:val="decimalEnclosedCircle"/>
        <w:lvlText w:val="%6"/>
        <w:lvlJc w:val="left"/>
        <w:pPr>
          <w:ind w:left="2640" w:hanging="440"/>
        </w:pPr>
      </w:lvl>
    </w:lvlOverride>
    <w:lvlOverride w:ilvl="6">
      <w:lvl w:ilvl="6" w:tplc="B4E2E0D8" w:tentative="1">
        <w:start w:val="1"/>
        <w:numFmt w:val="decimal"/>
        <w:lvlText w:val="%7."/>
        <w:lvlJc w:val="left"/>
        <w:pPr>
          <w:ind w:left="3080" w:hanging="440"/>
        </w:pPr>
      </w:lvl>
    </w:lvlOverride>
    <w:lvlOverride w:ilvl="7">
      <w:lvl w:ilvl="7" w:tplc="739EE5D6" w:tentative="1">
        <w:start w:val="1"/>
        <w:numFmt w:val="aiueoFullWidth"/>
        <w:lvlText w:val="(%8)"/>
        <w:lvlJc w:val="left"/>
        <w:pPr>
          <w:ind w:left="3520" w:hanging="440"/>
        </w:pPr>
      </w:lvl>
    </w:lvlOverride>
    <w:lvlOverride w:ilvl="8">
      <w:lvl w:ilvl="8" w:tplc="0076EEC2" w:tentative="1">
        <w:start w:val="1"/>
        <w:numFmt w:val="decimalEnclosedCircle"/>
        <w:lvlText w:val="%9"/>
        <w:lvlJc w:val="left"/>
        <w:pPr>
          <w:ind w:left="3960" w:hanging="440"/>
        </w:pPr>
      </w:lvl>
    </w:lvlOverride>
  </w:num>
  <w:num w:numId="10" w16cid:durableId="1371416190">
    <w:abstractNumId w:val="2"/>
    <w:lvlOverride w:ilvl="0">
      <w:lvl w:ilvl="0" w:tplc="F6B0613A">
        <w:start w:val="1"/>
        <w:numFmt w:val="decimal"/>
        <w:lvlText w:val="(%1)"/>
        <w:lvlJc w:val="left"/>
        <w:pPr>
          <w:ind w:left="0" w:firstLine="588"/>
        </w:pPr>
        <w:rPr>
          <w:rFonts w:ascii="ＭＳ 明朝" w:eastAsia="ＭＳ 明朝" w:hAnsi="ＭＳ 明朝" w:cs="ＭＳ 明朝" w:hint="eastAsia"/>
          <w:b w:val="0"/>
          <w:i w:val="0"/>
          <w:strike w:val="0"/>
          <w:dstrike w:val="0"/>
          <w:color w:val="000000"/>
          <w:sz w:val="24"/>
          <w:szCs w:val="24"/>
          <w:u w:val="none" w:color="000000"/>
          <w:vertAlign w:val="baseline"/>
        </w:rPr>
      </w:lvl>
    </w:lvlOverride>
    <w:lvlOverride w:ilvl="1">
      <w:lvl w:ilvl="1" w:tplc="6AD27628" w:tentative="1">
        <w:start w:val="1"/>
        <w:numFmt w:val="aiueoFullWidth"/>
        <w:lvlText w:val="(%2)"/>
        <w:lvlJc w:val="left"/>
        <w:pPr>
          <w:ind w:left="880" w:hanging="440"/>
        </w:pPr>
      </w:lvl>
    </w:lvlOverride>
    <w:lvlOverride w:ilvl="2">
      <w:lvl w:ilvl="2" w:tplc="66101150" w:tentative="1">
        <w:start w:val="1"/>
        <w:numFmt w:val="decimalEnclosedCircle"/>
        <w:lvlText w:val="%3"/>
        <w:lvlJc w:val="left"/>
        <w:pPr>
          <w:ind w:left="1320" w:hanging="440"/>
        </w:pPr>
      </w:lvl>
    </w:lvlOverride>
    <w:lvlOverride w:ilvl="3">
      <w:lvl w:ilvl="3" w:tplc="9A4CEC24" w:tentative="1">
        <w:start w:val="1"/>
        <w:numFmt w:val="decimal"/>
        <w:lvlText w:val="%4."/>
        <w:lvlJc w:val="left"/>
        <w:pPr>
          <w:ind w:left="1760" w:hanging="440"/>
        </w:pPr>
      </w:lvl>
    </w:lvlOverride>
    <w:lvlOverride w:ilvl="4">
      <w:lvl w:ilvl="4" w:tplc="C572499E" w:tentative="1">
        <w:start w:val="1"/>
        <w:numFmt w:val="aiueoFullWidth"/>
        <w:lvlText w:val="(%5)"/>
        <w:lvlJc w:val="left"/>
        <w:pPr>
          <w:ind w:left="2200" w:hanging="440"/>
        </w:pPr>
      </w:lvl>
    </w:lvlOverride>
    <w:lvlOverride w:ilvl="5">
      <w:lvl w:ilvl="5" w:tplc="82402E66" w:tentative="1">
        <w:start w:val="1"/>
        <w:numFmt w:val="decimalEnclosedCircle"/>
        <w:lvlText w:val="%6"/>
        <w:lvlJc w:val="left"/>
        <w:pPr>
          <w:ind w:left="2640" w:hanging="440"/>
        </w:pPr>
      </w:lvl>
    </w:lvlOverride>
    <w:lvlOverride w:ilvl="6">
      <w:lvl w:ilvl="6" w:tplc="59E4038E" w:tentative="1">
        <w:start w:val="1"/>
        <w:numFmt w:val="decimal"/>
        <w:lvlText w:val="%7."/>
        <w:lvlJc w:val="left"/>
        <w:pPr>
          <w:ind w:left="3080" w:hanging="440"/>
        </w:pPr>
      </w:lvl>
    </w:lvlOverride>
    <w:lvlOverride w:ilvl="7">
      <w:lvl w:ilvl="7" w:tplc="C39A9954" w:tentative="1">
        <w:start w:val="1"/>
        <w:numFmt w:val="aiueoFullWidth"/>
        <w:lvlText w:val="(%8)"/>
        <w:lvlJc w:val="left"/>
        <w:pPr>
          <w:ind w:left="3520" w:hanging="440"/>
        </w:pPr>
      </w:lvl>
    </w:lvlOverride>
    <w:lvlOverride w:ilvl="8">
      <w:lvl w:ilvl="8" w:tplc="CF5450FE" w:tentative="1">
        <w:start w:val="1"/>
        <w:numFmt w:val="decimalEnclosedCircle"/>
        <w:lvlText w:val="%9"/>
        <w:lvlJc w:val="left"/>
        <w:pPr>
          <w:ind w:left="3960" w:hanging="440"/>
        </w:pPr>
      </w:lvl>
    </w:lvlOverride>
  </w:num>
  <w:num w:numId="11" w16cid:durableId="1618371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70"/>
    <w:rsid w:val="000224E4"/>
    <w:rsid w:val="000A64AA"/>
    <w:rsid w:val="000D740C"/>
    <w:rsid w:val="000E18E1"/>
    <w:rsid w:val="00100A43"/>
    <w:rsid w:val="00105657"/>
    <w:rsid w:val="00107E4A"/>
    <w:rsid w:val="001418BD"/>
    <w:rsid w:val="0016285B"/>
    <w:rsid w:val="0017375D"/>
    <w:rsid w:val="0018290A"/>
    <w:rsid w:val="00186DEF"/>
    <w:rsid w:val="00214E48"/>
    <w:rsid w:val="002350E2"/>
    <w:rsid w:val="00276F81"/>
    <w:rsid w:val="00287800"/>
    <w:rsid w:val="002C1E90"/>
    <w:rsid w:val="002C37F9"/>
    <w:rsid w:val="002C78BD"/>
    <w:rsid w:val="002D1FB6"/>
    <w:rsid w:val="002D3ED9"/>
    <w:rsid w:val="003562D2"/>
    <w:rsid w:val="003654E3"/>
    <w:rsid w:val="00393C68"/>
    <w:rsid w:val="003B3E9C"/>
    <w:rsid w:val="003B6537"/>
    <w:rsid w:val="003E1BDB"/>
    <w:rsid w:val="004121B2"/>
    <w:rsid w:val="00415A2E"/>
    <w:rsid w:val="0044151F"/>
    <w:rsid w:val="00451901"/>
    <w:rsid w:val="004D7F7F"/>
    <w:rsid w:val="004F5802"/>
    <w:rsid w:val="0050444F"/>
    <w:rsid w:val="00530957"/>
    <w:rsid w:val="00536DC7"/>
    <w:rsid w:val="00545250"/>
    <w:rsid w:val="00557EA8"/>
    <w:rsid w:val="005659A9"/>
    <w:rsid w:val="00566B7E"/>
    <w:rsid w:val="00570AED"/>
    <w:rsid w:val="005770BF"/>
    <w:rsid w:val="00594FAD"/>
    <w:rsid w:val="005A57CD"/>
    <w:rsid w:val="005B2E7E"/>
    <w:rsid w:val="005B5598"/>
    <w:rsid w:val="005C3C86"/>
    <w:rsid w:val="005D61D0"/>
    <w:rsid w:val="0060432B"/>
    <w:rsid w:val="0062321E"/>
    <w:rsid w:val="00624565"/>
    <w:rsid w:val="00656218"/>
    <w:rsid w:val="00665951"/>
    <w:rsid w:val="0067028F"/>
    <w:rsid w:val="006757FD"/>
    <w:rsid w:val="006D5538"/>
    <w:rsid w:val="006D664F"/>
    <w:rsid w:val="006D7238"/>
    <w:rsid w:val="006E4EB3"/>
    <w:rsid w:val="006E6BC3"/>
    <w:rsid w:val="0070132E"/>
    <w:rsid w:val="00726235"/>
    <w:rsid w:val="00771683"/>
    <w:rsid w:val="00784F71"/>
    <w:rsid w:val="008A78F0"/>
    <w:rsid w:val="008B7721"/>
    <w:rsid w:val="00902A87"/>
    <w:rsid w:val="0090784C"/>
    <w:rsid w:val="00911126"/>
    <w:rsid w:val="0095350B"/>
    <w:rsid w:val="00957736"/>
    <w:rsid w:val="00970AA4"/>
    <w:rsid w:val="0098067D"/>
    <w:rsid w:val="009B1690"/>
    <w:rsid w:val="009C0F25"/>
    <w:rsid w:val="009E09EA"/>
    <w:rsid w:val="00A16A77"/>
    <w:rsid w:val="00A228FB"/>
    <w:rsid w:val="00A24F07"/>
    <w:rsid w:val="00A25162"/>
    <w:rsid w:val="00A25F6D"/>
    <w:rsid w:val="00A37F97"/>
    <w:rsid w:val="00A84070"/>
    <w:rsid w:val="00AB30E0"/>
    <w:rsid w:val="00AD1D0E"/>
    <w:rsid w:val="00B11877"/>
    <w:rsid w:val="00B11ABB"/>
    <w:rsid w:val="00B12B9C"/>
    <w:rsid w:val="00B539C4"/>
    <w:rsid w:val="00B63441"/>
    <w:rsid w:val="00B72AFB"/>
    <w:rsid w:val="00B90E82"/>
    <w:rsid w:val="00B96306"/>
    <w:rsid w:val="00BA4263"/>
    <w:rsid w:val="00C0032D"/>
    <w:rsid w:val="00C15130"/>
    <w:rsid w:val="00C174BE"/>
    <w:rsid w:val="00C360B7"/>
    <w:rsid w:val="00C42B8D"/>
    <w:rsid w:val="00C579C5"/>
    <w:rsid w:val="00C734C0"/>
    <w:rsid w:val="00C75E04"/>
    <w:rsid w:val="00C77D40"/>
    <w:rsid w:val="00CC13F4"/>
    <w:rsid w:val="00CD680C"/>
    <w:rsid w:val="00D016D7"/>
    <w:rsid w:val="00D2006A"/>
    <w:rsid w:val="00D23D32"/>
    <w:rsid w:val="00D37E18"/>
    <w:rsid w:val="00D62EDA"/>
    <w:rsid w:val="00D635BE"/>
    <w:rsid w:val="00D90B25"/>
    <w:rsid w:val="00DB39CA"/>
    <w:rsid w:val="00DD1817"/>
    <w:rsid w:val="00DE1E18"/>
    <w:rsid w:val="00E42F30"/>
    <w:rsid w:val="00E604A6"/>
    <w:rsid w:val="00E844F5"/>
    <w:rsid w:val="00EB177B"/>
    <w:rsid w:val="00EB4E37"/>
    <w:rsid w:val="00EC2C40"/>
    <w:rsid w:val="00EC7A2E"/>
    <w:rsid w:val="00FB2BA5"/>
    <w:rsid w:val="00FF5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4B0CF"/>
  <w15:docId w15:val="{6C1616D4-E927-4B07-832E-123FDBA6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02"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665951"/>
    <w:pPr>
      <w:ind w:leftChars="400" w:left="840"/>
    </w:pPr>
  </w:style>
  <w:style w:type="paragraph" w:styleId="a4">
    <w:name w:val="header"/>
    <w:basedOn w:val="a"/>
    <w:link w:val="a5"/>
    <w:uiPriority w:val="99"/>
    <w:unhideWhenUsed/>
    <w:rsid w:val="00FF52E0"/>
    <w:pPr>
      <w:tabs>
        <w:tab w:val="center" w:pos="4252"/>
        <w:tab w:val="right" w:pos="8504"/>
      </w:tabs>
      <w:snapToGrid w:val="0"/>
    </w:pPr>
  </w:style>
  <w:style w:type="character" w:customStyle="1" w:styleId="a5">
    <w:name w:val="ヘッダー (文字)"/>
    <w:basedOn w:val="a0"/>
    <w:link w:val="a4"/>
    <w:uiPriority w:val="99"/>
    <w:rsid w:val="00FF52E0"/>
    <w:rPr>
      <w:rFonts w:ascii="ＭＳ 明朝" w:eastAsia="ＭＳ 明朝" w:hAnsi="ＭＳ 明朝" w:cs="ＭＳ 明朝"/>
      <w:color w:val="000000"/>
      <w:sz w:val="24"/>
    </w:rPr>
  </w:style>
  <w:style w:type="paragraph" w:styleId="a6">
    <w:name w:val="footer"/>
    <w:basedOn w:val="a"/>
    <w:link w:val="a7"/>
    <w:uiPriority w:val="99"/>
    <w:unhideWhenUsed/>
    <w:rsid w:val="00FF52E0"/>
    <w:pPr>
      <w:tabs>
        <w:tab w:val="center" w:pos="4252"/>
        <w:tab w:val="right" w:pos="8504"/>
      </w:tabs>
      <w:snapToGrid w:val="0"/>
    </w:pPr>
  </w:style>
  <w:style w:type="character" w:customStyle="1" w:styleId="a7">
    <w:name w:val="フッター (文字)"/>
    <w:basedOn w:val="a0"/>
    <w:link w:val="a6"/>
    <w:uiPriority w:val="99"/>
    <w:rsid w:val="00FF52E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309</TotalTime>
  <Pages>4</Pages>
  <Words>493</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15</cp:revision>
  <cp:lastPrinted>2026-03-31T04:42:00Z</cp:lastPrinted>
  <dcterms:created xsi:type="dcterms:W3CDTF">2026-03-30T03:08:00Z</dcterms:created>
  <dcterms:modified xsi:type="dcterms:W3CDTF">2026-03-31T07:43:00Z</dcterms:modified>
</cp:coreProperties>
</file>